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sz w:val="72"/>
          <w:szCs w:val="72"/>
        </w:rPr>
      </w:pPr>
      <w:bookmarkStart w:id="0" w:name="_Toc15306267"/>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13564655"/>
      <w:bookmarkStart w:id="2" w:name="_Toc15396597"/>
      <w:bookmarkStart w:id="3" w:name="_Toc4637"/>
      <w:bookmarkStart w:id="4" w:name="_Toc15377425"/>
      <w:bookmarkStart w:id="5" w:name="_Toc15378441"/>
      <w:bookmarkStart w:id="6" w:name="_Toc15396475"/>
      <w:bookmarkStart w:id="7" w:name="_Toc15377193"/>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End w:id="6"/>
      <w:bookmarkEnd w:id="7"/>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8" w:name="_Toc113564656"/>
      <w:bookmarkStart w:id="9" w:name="_Toc15396476"/>
      <w:bookmarkStart w:id="10" w:name="_Toc15378442"/>
      <w:bookmarkStart w:id="11" w:name="_Toc15377426"/>
      <w:bookmarkStart w:id="12" w:name="_Toc6264"/>
      <w:bookmarkStart w:id="13" w:name="_Toc15377194"/>
      <w:bookmarkStart w:id="14" w:name="_Toc15396598"/>
      <w:r>
        <w:rPr>
          <w:rFonts w:hint="eastAsia" w:ascii="方正小标宋简体" w:hAnsi="方正小标宋简体" w:eastAsia="方正小标宋简体" w:cs="方正小标宋简体"/>
          <w:sz w:val="72"/>
          <w:szCs w:val="72"/>
        </w:rPr>
        <w:t>四川省</w:t>
      </w:r>
      <w:bookmarkEnd w:id="0"/>
      <w:bookmarkStart w:id="15" w:name="_Toc15306268"/>
      <w:r>
        <w:rPr>
          <w:rFonts w:hint="eastAsia" w:ascii="方正小标宋简体" w:hAnsi="方正小标宋简体" w:eastAsia="方正小标宋简体" w:cs="方正小标宋简体"/>
          <w:sz w:val="72"/>
          <w:szCs w:val="72"/>
        </w:rPr>
        <w:t>攀枝花市劳动人事争议仲裁院单位决算</w:t>
      </w:r>
      <w:bookmarkEnd w:id="8"/>
      <w:bookmarkEnd w:id="9"/>
      <w:bookmarkEnd w:id="10"/>
      <w:bookmarkEnd w:id="11"/>
      <w:bookmarkEnd w:id="12"/>
      <w:bookmarkEnd w:id="13"/>
      <w:bookmarkEnd w:id="14"/>
      <w:bookmarkEnd w:id="15"/>
    </w:p>
    <w:p>
      <w:pPr>
        <w:pStyle w:val="11"/>
      </w:pPr>
      <w:r>
        <w:rPr>
          <w:rFonts w:ascii="方正小标宋简体" w:hAnsi="宋体" w:eastAsia="方正小标宋简体"/>
          <w:sz w:val="36"/>
          <w:szCs w:val="36"/>
        </w:rPr>
        <w:br w:type="page"/>
      </w:r>
    </w:p>
    <w:sdt>
      <w:sdtPr>
        <w:rPr>
          <w:rFonts w:ascii="宋体" w:hAnsi="宋体"/>
        </w:rPr>
        <w:id w:val="147454413"/>
        <w:docPartObj>
          <w:docPartGallery w:val="Table of Contents"/>
          <w:docPartUnique/>
        </w:docPartObj>
      </w:sdtPr>
      <w:sdtEndPr>
        <w:rPr>
          <w:rFonts w:ascii="Times New Roman" w:hAnsi="Times New Roman"/>
          <w:b/>
        </w:rPr>
      </w:sdtEndPr>
      <w:sdtContent>
        <w:p>
          <w:pPr>
            <w:jc w:val="center"/>
            <w:rPr>
              <w:rFonts w:ascii="黑体" w:hAnsi="黑体" w:eastAsia="黑体"/>
              <w:sz w:val="48"/>
              <w:szCs w:val="48"/>
            </w:rPr>
          </w:pPr>
          <w:r>
            <w:rPr>
              <w:rFonts w:hint="eastAsia" w:ascii="黑体" w:hAnsi="黑体" w:eastAsia="黑体"/>
              <w:sz w:val="48"/>
              <w:szCs w:val="48"/>
            </w:rPr>
            <w:t>目录</w:t>
          </w:r>
        </w:p>
        <w:p>
          <w:pPr>
            <w:pStyle w:val="12"/>
            <w:adjustRightInd w:val="0"/>
            <w:snapToGrid w:val="0"/>
            <w:spacing w:line="440" w:lineRule="exact"/>
            <w:ind w:left="0" w:leftChars="0"/>
            <w:jc w:val="center"/>
            <w:rPr>
              <w:sz w:val="24"/>
            </w:rPr>
          </w:pPr>
          <w:r>
            <w:rPr>
              <w:rFonts w:hint="eastAsia" w:ascii="仿宋" w:hAnsi="仿宋" w:eastAsia="仿宋"/>
              <w:sz w:val="28"/>
              <w:szCs w:val="28"/>
            </w:rPr>
            <w:t>公开时间：2022年9月1</w:t>
          </w:r>
          <w:r>
            <w:rPr>
              <w:rFonts w:hint="eastAsia" w:ascii="仿宋" w:hAnsi="仿宋" w:eastAsia="仿宋"/>
              <w:sz w:val="28"/>
              <w:szCs w:val="28"/>
              <w:lang w:val="en-US" w:eastAsia="zh-CN"/>
            </w:rPr>
            <w:t>4</w:t>
          </w:r>
          <w:r>
            <w:rPr>
              <w:rFonts w:hint="eastAsia" w:ascii="仿宋" w:hAnsi="仿宋" w:eastAsia="仿宋"/>
              <w:sz w:val="28"/>
              <w:szCs w:val="28"/>
            </w:rPr>
            <w:t>日</w:t>
          </w:r>
          <w:r>
            <w:fldChar w:fldCharType="begin"/>
          </w:r>
          <w:r>
            <w:instrText xml:space="preserve">TOC \o "1-2" \h \u </w:instrText>
          </w:r>
          <w:r>
            <w:fldChar w:fldCharType="separate"/>
          </w:r>
        </w:p>
        <w:p>
          <w:pPr>
            <w:pStyle w:val="12"/>
            <w:adjustRightInd w:val="0"/>
            <w:snapToGrid w:val="0"/>
            <w:spacing w:line="440" w:lineRule="exact"/>
            <w:ind w:left="0" w:leftChars="0"/>
            <w:jc w:val="left"/>
            <w:rPr>
              <w:sz w:val="24"/>
            </w:rPr>
          </w:pPr>
          <w:r>
            <w:fldChar w:fldCharType="begin"/>
          </w:r>
          <w:r>
            <w:instrText xml:space="preserve"> HYPERLINK \l "_Toc113564657" </w:instrText>
          </w:r>
          <w:r>
            <w:fldChar w:fldCharType="separate"/>
          </w:r>
          <w:r>
            <w:rPr>
              <w:rFonts w:hint="eastAsia" w:ascii="仿宋" w:hAnsi="仿宋" w:eastAsia="仿宋"/>
              <w:sz w:val="24"/>
              <w:szCs w:val="28"/>
            </w:rPr>
            <w:t>第一部分</w:t>
          </w:r>
          <w:r>
            <w:rPr>
              <w:rFonts w:ascii="仿宋" w:hAnsi="仿宋" w:eastAsia="仿宋"/>
              <w:sz w:val="24"/>
              <w:szCs w:val="28"/>
            </w:rPr>
            <w:t xml:space="preserve"> </w:t>
          </w:r>
          <w:r>
            <w:rPr>
              <w:rFonts w:hint="eastAsia" w:ascii="仿宋" w:hAnsi="仿宋" w:eastAsia="仿宋"/>
              <w:sz w:val="24"/>
              <w:szCs w:val="28"/>
            </w:rPr>
            <w:t>单位概况</w:t>
          </w:r>
          <w:r>
            <w:rPr>
              <w:sz w:val="24"/>
            </w:rPr>
            <w:tab/>
          </w:r>
          <w:r>
            <w:rPr>
              <w:sz w:val="24"/>
            </w:rPr>
            <w:fldChar w:fldCharType="begin"/>
          </w:r>
          <w:r>
            <w:rPr>
              <w:sz w:val="24"/>
            </w:rPr>
            <w:instrText xml:space="preserve"> PAGEREF _Toc113564657 \h </w:instrText>
          </w:r>
          <w:r>
            <w:rPr>
              <w:sz w:val="24"/>
            </w:rPr>
            <w:fldChar w:fldCharType="separate"/>
          </w:r>
          <w:r>
            <w:rPr>
              <w:sz w:val="24"/>
            </w:rPr>
            <w:t>4</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"_Toc113564658" </w:instrText>
          </w:r>
          <w:r>
            <w:fldChar w:fldCharType="separate"/>
          </w:r>
          <w:r>
            <w:rPr>
              <w:rFonts w:hint="eastAsia"/>
              <w:sz w:val="24"/>
            </w:rPr>
            <w:t>一、职能简介</w:t>
          </w:r>
          <w:r>
            <w:rPr>
              <w:sz w:val="24"/>
            </w:rPr>
            <w:tab/>
          </w:r>
          <w:r>
            <w:rPr>
              <w:sz w:val="24"/>
            </w:rPr>
            <w:fldChar w:fldCharType="begin"/>
          </w:r>
          <w:r>
            <w:rPr>
              <w:sz w:val="24"/>
            </w:rPr>
            <w:instrText xml:space="preserve"> PAGEREF _Toc113564658 \h </w:instrText>
          </w:r>
          <w:r>
            <w:rPr>
              <w:sz w:val="24"/>
            </w:rPr>
            <w:fldChar w:fldCharType="separate"/>
          </w:r>
          <w:r>
            <w:rPr>
              <w:sz w:val="24"/>
            </w:rPr>
            <w:t>4</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"_Toc113564659" </w:instrText>
          </w:r>
          <w:r>
            <w:fldChar w:fldCharType="separate"/>
          </w:r>
          <w:r>
            <w:rPr>
              <w:rFonts w:hint="eastAsia"/>
              <w:sz w:val="24"/>
            </w:rPr>
            <w:t>二、</w:t>
          </w:r>
          <w:r>
            <w:rPr>
              <w:sz w:val="24"/>
            </w:rPr>
            <w:t>2021</w:t>
          </w:r>
          <w:r>
            <w:rPr>
              <w:rFonts w:hint="eastAsia"/>
              <w:sz w:val="24"/>
            </w:rPr>
            <w:t>年重点工作完成情况</w:t>
          </w:r>
          <w:r>
            <w:rPr>
              <w:sz w:val="24"/>
            </w:rPr>
            <w:tab/>
          </w:r>
          <w:r>
            <w:rPr>
              <w:sz w:val="24"/>
            </w:rPr>
            <w:fldChar w:fldCharType="begin"/>
          </w:r>
          <w:r>
            <w:rPr>
              <w:sz w:val="24"/>
            </w:rPr>
            <w:instrText xml:space="preserve"> PAGEREF _Toc113564659 \h </w:instrText>
          </w:r>
          <w:r>
            <w:rPr>
              <w:sz w:val="24"/>
            </w:rPr>
            <w:fldChar w:fldCharType="separate"/>
          </w:r>
          <w:r>
            <w:rPr>
              <w:sz w:val="24"/>
            </w:rPr>
            <w:t>4</w:t>
          </w:r>
          <w:r>
            <w:rPr>
              <w:sz w:val="24"/>
            </w:rPr>
            <w:fldChar w:fldCharType="end"/>
          </w:r>
          <w:r>
            <w:rPr>
              <w:sz w:val="24"/>
            </w:rPr>
            <w:fldChar w:fldCharType="end"/>
          </w:r>
        </w:p>
        <w:p>
          <w:pPr>
            <w:jc w:val="left"/>
            <w:rPr>
              <w:rFonts w:hint="eastAsia" w:eastAsia="宋体"/>
              <w:lang w:val="en-US" w:eastAsia="zh-CN"/>
            </w:rPr>
          </w:pPr>
          <w:r>
            <w:rPr>
              <w:rFonts w:hint="eastAsia"/>
              <w:sz w:val="24"/>
              <w:lang w:val="en-US" w:eastAsia="zh-CN"/>
            </w:rPr>
            <w:t xml:space="preserve">   三、机构设置情况..................................................................................................7</w:t>
          </w:r>
        </w:p>
        <w:p>
          <w:pPr>
            <w:pStyle w:val="12"/>
            <w:adjustRightInd w:val="0"/>
            <w:snapToGrid w:val="0"/>
            <w:spacing w:line="440" w:lineRule="exact"/>
            <w:ind w:left="0" w:leftChars="0"/>
            <w:jc w:val="left"/>
            <w:rPr>
              <w:sz w:val="24"/>
            </w:rPr>
          </w:pPr>
          <w:r>
            <w:fldChar w:fldCharType="begin"/>
          </w:r>
          <w:r>
            <w:instrText xml:space="preserve"> HYPERLINK \l "_Toc113564660" </w:instrText>
          </w:r>
          <w:r>
            <w:fldChar w:fldCharType="separate"/>
          </w:r>
          <w:r>
            <w:rPr>
              <w:rFonts w:hint="eastAsia" w:ascii="仿宋" w:hAnsi="仿宋" w:eastAsia="仿宋"/>
              <w:sz w:val="24"/>
              <w:szCs w:val="28"/>
            </w:rPr>
            <w:t>第二部分</w:t>
          </w:r>
          <w:r>
            <w:rPr>
              <w:rFonts w:ascii="仿宋" w:hAnsi="仿宋" w:eastAsia="仿宋"/>
              <w:sz w:val="24"/>
              <w:szCs w:val="28"/>
            </w:rPr>
            <w:t xml:space="preserve"> 2021</w:t>
          </w:r>
          <w:r>
            <w:rPr>
              <w:rFonts w:hint="eastAsia" w:ascii="仿宋" w:hAnsi="仿宋" w:eastAsia="仿宋"/>
              <w:sz w:val="24"/>
              <w:szCs w:val="28"/>
            </w:rPr>
            <w:t>年度单位决算情况说明</w:t>
          </w:r>
          <w:r>
            <w:rPr>
              <w:sz w:val="24"/>
            </w:rPr>
            <w:tab/>
          </w:r>
          <w:r>
            <w:rPr>
              <w:rFonts w:hint="eastAsia"/>
              <w:sz w:val="24"/>
              <w:lang w:val="en-US" w:eastAsia="zh-CN"/>
            </w:rPr>
            <w:t>8</w:t>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"_Toc113564661" </w:instrText>
          </w:r>
          <w:r>
            <w:fldChar w:fldCharType="separate"/>
          </w:r>
          <w:r>
            <w:rPr>
              <w:rFonts w:hint="eastAsia"/>
              <w:sz w:val="24"/>
            </w:rPr>
            <w:t>一、收入支出决算总体情况说明</w:t>
          </w:r>
          <w:r>
            <w:rPr>
              <w:sz w:val="24"/>
            </w:rPr>
            <w:tab/>
          </w:r>
          <w:r>
            <w:rPr>
              <w:sz w:val="24"/>
            </w:rPr>
            <w:fldChar w:fldCharType="begin"/>
          </w:r>
          <w:r>
            <w:rPr>
              <w:sz w:val="24"/>
            </w:rPr>
            <w:instrText xml:space="preserve"> PAGEREF _Toc113564661 \h </w:instrText>
          </w:r>
          <w:r>
            <w:rPr>
              <w:sz w:val="24"/>
            </w:rPr>
            <w:fldChar w:fldCharType="separate"/>
          </w:r>
          <w:r>
            <w:rPr>
              <w:sz w:val="24"/>
            </w:rPr>
            <w:t>8</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"_Toc113564662" </w:instrText>
          </w:r>
          <w:r>
            <w:fldChar w:fldCharType="separate"/>
          </w:r>
          <w:r>
            <w:rPr>
              <w:rFonts w:hint="eastAsia"/>
              <w:sz w:val="24"/>
            </w:rPr>
            <w:t>二、收入决算情况说明</w:t>
          </w:r>
          <w:r>
            <w:rPr>
              <w:sz w:val="24"/>
            </w:rPr>
            <w:tab/>
          </w:r>
          <w:r>
            <w:rPr>
              <w:sz w:val="24"/>
            </w:rPr>
            <w:fldChar w:fldCharType="begin"/>
          </w:r>
          <w:r>
            <w:rPr>
              <w:sz w:val="24"/>
            </w:rPr>
            <w:instrText xml:space="preserve"> PAGEREF _Toc113564662 \h </w:instrText>
          </w:r>
          <w:r>
            <w:rPr>
              <w:sz w:val="24"/>
            </w:rPr>
            <w:fldChar w:fldCharType="separate"/>
          </w:r>
          <w:r>
            <w:rPr>
              <w:sz w:val="24"/>
            </w:rPr>
            <w:t>8</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"_Toc113564663" </w:instrText>
          </w:r>
          <w:r>
            <w:fldChar w:fldCharType="separate"/>
          </w:r>
          <w:r>
            <w:rPr>
              <w:rFonts w:hint="eastAsia"/>
              <w:sz w:val="24"/>
            </w:rPr>
            <w:t>三、支出决算情况说明</w:t>
          </w:r>
          <w:r>
            <w:rPr>
              <w:sz w:val="24"/>
            </w:rPr>
            <w:tab/>
          </w:r>
          <w:r>
            <w:rPr>
              <w:sz w:val="24"/>
            </w:rPr>
            <w:fldChar w:fldCharType="begin"/>
          </w:r>
          <w:r>
            <w:rPr>
              <w:sz w:val="24"/>
            </w:rPr>
            <w:instrText xml:space="preserve"> PAGEREF _Toc113564663 \h </w:instrText>
          </w:r>
          <w:r>
            <w:rPr>
              <w:sz w:val="24"/>
            </w:rPr>
            <w:fldChar w:fldCharType="separate"/>
          </w:r>
          <w:r>
            <w:rPr>
              <w:sz w:val="24"/>
            </w:rPr>
            <w:t>9</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"_Toc113564665" </w:instrText>
          </w:r>
          <w:r>
            <w:fldChar w:fldCharType="separate"/>
          </w:r>
          <w:r>
            <w:rPr>
              <w:rFonts w:hint="eastAsia"/>
              <w:sz w:val="24"/>
            </w:rPr>
            <w:t>四、财政拨款收入支出决算总体情况说明</w:t>
          </w:r>
          <w:r>
            <w:rPr>
              <w:sz w:val="24"/>
            </w:rPr>
            <w:tab/>
          </w:r>
          <w:r>
            <w:rPr>
              <w:sz w:val="24"/>
            </w:rPr>
            <w:fldChar w:fldCharType="begin"/>
          </w:r>
          <w:r>
            <w:rPr>
              <w:sz w:val="24"/>
            </w:rPr>
            <w:instrText xml:space="preserve"> PAGEREF _Toc113564665 \h </w:instrText>
          </w:r>
          <w:r>
            <w:rPr>
              <w:sz w:val="24"/>
            </w:rPr>
            <w:fldChar w:fldCharType="separate"/>
          </w:r>
          <w:r>
            <w:rPr>
              <w:sz w:val="24"/>
            </w:rPr>
            <w:t>10</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"_Toc113564666" </w:instrText>
          </w:r>
          <w:r>
            <w:fldChar w:fldCharType="separate"/>
          </w:r>
          <w:r>
            <w:rPr>
              <w:rFonts w:hint="eastAsia"/>
              <w:sz w:val="24"/>
            </w:rPr>
            <w:t>五、一般公共预算财政拨款支出决算情况说明</w:t>
          </w:r>
          <w:r>
            <w:rPr>
              <w:sz w:val="24"/>
            </w:rPr>
            <w:tab/>
          </w:r>
          <w:r>
            <w:rPr>
              <w:sz w:val="24"/>
            </w:rPr>
            <w:fldChar w:fldCharType="begin"/>
          </w:r>
          <w:r>
            <w:rPr>
              <w:sz w:val="24"/>
            </w:rPr>
            <w:instrText xml:space="preserve"> PAGEREF _Toc113564666 \h </w:instrText>
          </w:r>
          <w:r>
            <w:rPr>
              <w:sz w:val="24"/>
            </w:rPr>
            <w:fldChar w:fldCharType="separate"/>
          </w:r>
          <w:r>
            <w:rPr>
              <w:sz w:val="24"/>
            </w:rPr>
            <w:t>10</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"_Toc113564668" </w:instrText>
          </w:r>
          <w:r>
            <w:fldChar w:fldCharType="separate"/>
          </w:r>
          <w:r>
            <w:rPr>
              <w:rFonts w:hint="eastAsia"/>
              <w:sz w:val="24"/>
            </w:rPr>
            <w:t>六、一般公共预算财政拨款基本支出决算情况说明</w:t>
          </w:r>
          <w:r>
            <w:rPr>
              <w:sz w:val="24"/>
            </w:rPr>
            <w:tab/>
          </w:r>
          <w:r>
            <w:rPr>
              <w:sz w:val="24"/>
            </w:rPr>
            <w:fldChar w:fldCharType="begin"/>
          </w:r>
          <w:r>
            <w:rPr>
              <w:sz w:val="24"/>
            </w:rPr>
            <w:instrText xml:space="preserve"> PAGEREF _Toc113564668 \h </w:instrText>
          </w:r>
          <w:r>
            <w:rPr>
              <w:sz w:val="24"/>
            </w:rPr>
            <w:fldChar w:fldCharType="separate"/>
          </w:r>
          <w:r>
            <w:rPr>
              <w:sz w:val="24"/>
            </w:rPr>
            <w:t>13</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"_Toc113564669" </w:instrText>
          </w:r>
          <w:r>
            <w:fldChar w:fldCharType="separate"/>
          </w:r>
          <w:r>
            <w:rPr>
              <w:rFonts w:hint="eastAsia"/>
              <w:sz w:val="24"/>
            </w:rPr>
            <w:t>七、</w:t>
          </w:r>
          <w:r>
            <w:rPr>
              <w:sz w:val="24"/>
            </w:rPr>
            <w:t>“</w:t>
          </w:r>
          <w:r>
            <w:rPr>
              <w:rFonts w:hint="eastAsia"/>
              <w:sz w:val="24"/>
            </w:rPr>
            <w:t>三公”经费财政拨款支出决算情况说明</w:t>
          </w:r>
          <w:r>
            <w:rPr>
              <w:sz w:val="24"/>
            </w:rPr>
            <w:tab/>
          </w:r>
          <w:r>
            <w:rPr>
              <w:sz w:val="24"/>
            </w:rPr>
            <w:fldChar w:fldCharType="begin"/>
          </w:r>
          <w:r>
            <w:rPr>
              <w:sz w:val="24"/>
            </w:rPr>
            <w:instrText xml:space="preserve"> PAGEREF _Toc113564669 \h </w:instrText>
          </w:r>
          <w:r>
            <w:rPr>
              <w:sz w:val="24"/>
            </w:rPr>
            <w:fldChar w:fldCharType="separate"/>
          </w:r>
          <w:r>
            <w:rPr>
              <w:sz w:val="24"/>
            </w:rPr>
            <w:t>13</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"_Toc113564670" </w:instrText>
          </w:r>
          <w:r>
            <w:fldChar w:fldCharType="separate"/>
          </w:r>
          <w:r>
            <w:rPr>
              <w:rFonts w:hint="eastAsia"/>
              <w:sz w:val="24"/>
            </w:rPr>
            <w:t>八、政府性基金预算支出决算情况说明</w:t>
          </w:r>
          <w:r>
            <w:rPr>
              <w:sz w:val="24"/>
            </w:rPr>
            <w:tab/>
          </w:r>
          <w:r>
            <w:rPr>
              <w:sz w:val="24"/>
            </w:rPr>
            <w:fldChar w:fldCharType="begin"/>
          </w:r>
          <w:r>
            <w:rPr>
              <w:sz w:val="24"/>
            </w:rPr>
            <w:instrText xml:space="preserve"> PAGEREF _Toc113564670 \h </w:instrText>
          </w:r>
          <w:r>
            <w:rPr>
              <w:sz w:val="24"/>
            </w:rPr>
            <w:fldChar w:fldCharType="separate"/>
          </w:r>
          <w:r>
            <w:rPr>
              <w:sz w:val="24"/>
            </w:rPr>
            <w:t>15</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"_Toc113564671" </w:instrText>
          </w:r>
          <w:r>
            <w:fldChar w:fldCharType="separate"/>
          </w:r>
          <w:r>
            <w:rPr>
              <w:rFonts w:hint="eastAsia"/>
              <w:sz w:val="24"/>
            </w:rPr>
            <w:t>九、 国有资本经营预算支出决算情况说明</w:t>
          </w:r>
          <w:r>
            <w:rPr>
              <w:sz w:val="24"/>
            </w:rPr>
            <w:tab/>
          </w:r>
          <w:r>
            <w:rPr>
              <w:sz w:val="24"/>
            </w:rPr>
            <w:fldChar w:fldCharType="begin"/>
          </w:r>
          <w:r>
            <w:rPr>
              <w:sz w:val="24"/>
            </w:rPr>
            <w:instrText xml:space="preserve"> PAGEREF _Toc113564671 \h </w:instrText>
          </w:r>
          <w:r>
            <w:rPr>
              <w:sz w:val="24"/>
            </w:rPr>
            <w:fldChar w:fldCharType="separate"/>
          </w:r>
          <w:r>
            <w:rPr>
              <w:sz w:val="24"/>
            </w:rPr>
            <w:t>15</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"_Toc113564672" </w:instrText>
          </w:r>
          <w:r>
            <w:fldChar w:fldCharType="separate"/>
          </w:r>
          <w:r>
            <w:rPr>
              <w:rFonts w:hint="eastAsia"/>
              <w:sz w:val="24"/>
            </w:rPr>
            <w:t>十、 其他重要事项的情况说明</w:t>
          </w:r>
          <w:r>
            <w:rPr>
              <w:sz w:val="24"/>
            </w:rPr>
            <w:tab/>
          </w:r>
          <w:r>
            <w:rPr>
              <w:sz w:val="24"/>
            </w:rPr>
            <w:fldChar w:fldCharType="begin"/>
          </w:r>
          <w:r>
            <w:rPr>
              <w:sz w:val="24"/>
            </w:rPr>
            <w:instrText xml:space="preserve"> PAGEREF _Toc113564672 \h </w:instrText>
          </w:r>
          <w:r>
            <w:rPr>
              <w:sz w:val="24"/>
            </w:rPr>
            <w:fldChar w:fldCharType="separate"/>
          </w:r>
          <w:r>
            <w:rPr>
              <w:sz w:val="24"/>
            </w:rPr>
            <w:t>15</w:t>
          </w:r>
          <w:r>
            <w:rPr>
              <w:sz w:val="24"/>
            </w:rPr>
            <w:fldChar w:fldCharType="end"/>
          </w:r>
          <w:r>
            <w:rPr>
              <w:sz w:val="24"/>
            </w:rPr>
            <w:fldChar w:fldCharType="end"/>
          </w:r>
        </w:p>
        <w:p>
          <w:pPr>
            <w:pStyle w:val="12"/>
            <w:adjustRightInd w:val="0"/>
            <w:snapToGrid w:val="0"/>
            <w:spacing w:line="440" w:lineRule="exact"/>
            <w:ind w:left="0" w:leftChars="0"/>
            <w:jc w:val="left"/>
            <w:rPr>
              <w:sz w:val="24"/>
            </w:rPr>
          </w:pPr>
          <w:r>
            <w:fldChar w:fldCharType="begin"/>
          </w:r>
          <w:r>
            <w:instrText xml:space="preserve"> HYPERLINK \l "_Toc113564673" </w:instrText>
          </w:r>
          <w:r>
            <w:fldChar w:fldCharType="separate"/>
          </w:r>
          <w:r>
            <w:rPr>
              <w:rFonts w:hint="eastAsia" w:ascii="仿宋" w:hAnsi="仿宋" w:eastAsia="仿宋"/>
              <w:sz w:val="24"/>
              <w:szCs w:val="28"/>
            </w:rPr>
            <w:t>第三部分 名词解释</w:t>
          </w:r>
          <w:r>
            <w:rPr>
              <w:sz w:val="24"/>
            </w:rPr>
            <w:tab/>
          </w:r>
          <w:r>
            <w:rPr>
              <w:sz w:val="24"/>
            </w:rPr>
            <w:fldChar w:fldCharType="begin"/>
          </w:r>
          <w:r>
            <w:rPr>
              <w:sz w:val="24"/>
            </w:rPr>
            <w:instrText xml:space="preserve"> PAGEREF _Toc113564673 \h </w:instrText>
          </w:r>
          <w:r>
            <w:rPr>
              <w:sz w:val="24"/>
            </w:rPr>
            <w:fldChar w:fldCharType="separate"/>
          </w:r>
          <w:r>
            <w:rPr>
              <w:sz w:val="24"/>
            </w:rPr>
            <w:t>17</w:t>
          </w:r>
          <w:r>
            <w:rPr>
              <w:sz w:val="24"/>
            </w:rPr>
            <w:fldChar w:fldCharType="end"/>
          </w:r>
          <w:r>
            <w:rPr>
              <w:sz w:val="24"/>
            </w:rPr>
            <w:fldChar w:fldCharType="end"/>
          </w:r>
        </w:p>
        <w:p>
          <w:pPr>
            <w:pStyle w:val="12"/>
            <w:adjustRightInd w:val="0"/>
            <w:snapToGrid w:val="0"/>
            <w:spacing w:line="440" w:lineRule="exact"/>
            <w:ind w:left="0" w:leftChars="0"/>
            <w:jc w:val="left"/>
            <w:rPr>
              <w:sz w:val="24"/>
            </w:rPr>
          </w:pPr>
          <w:r>
            <w:fldChar w:fldCharType="begin"/>
          </w:r>
          <w:r>
            <w:instrText xml:space="preserve"> HYPERLINK \l "_Toc113564674" </w:instrText>
          </w:r>
          <w:r>
            <w:fldChar w:fldCharType="separate"/>
          </w:r>
          <w:r>
            <w:rPr>
              <w:rFonts w:hint="eastAsia" w:ascii="仿宋" w:hAnsi="仿宋" w:eastAsia="仿宋"/>
              <w:sz w:val="24"/>
              <w:szCs w:val="28"/>
            </w:rPr>
            <w:t>第四部分</w:t>
          </w:r>
          <w:r>
            <w:rPr>
              <w:rFonts w:ascii="仿宋" w:hAnsi="仿宋" w:eastAsia="仿宋"/>
              <w:sz w:val="24"/>
              <w:szCs w:val="28"/>
            </w:rPr>
            <w:t xml:space="preserve"> </w:t>
          </w:r>
          <w:r>
            <w:rPr>
              <w:rFonts w:hint="eastAsia" w:ascii="仿宋" w:hAnsi="仿宋" w:eastAsia="仿宋"/>
              <w:sz w:val="24"/>
              <w:szCs w:val="28"/>
            </w:rPr>
            <w:t>附件</w:t>
          </w:r>
          <w:r>
            <w:rPr>
              <w:sz w:val="24"/>
            </w:rPr>
            <w:tab/>
          </w:r>
          <w:r>
            <w:rPr>
              <w:sz w:val="24"/>
            </w:rPr>
            <w:fldChar w:fldCharType="begin"/>
          </w:r>
          <w:r>
            <w:rPr>
              <w:sz w:val="24"/>
            </w:rPr>
            <w:instrText xml:space="preserve"> PAGEREF _Toc113564674 \h </w:instrText>
          </w:r>
          <w:r>
            <w:rPr>
              <w:sz w:val="24"/>
            </w:rPr>
            <w:fldChar w:fldCharType="separate"/>
          </w:r>
          <w:r>
            <w:rPr>
              <w:sz w:val="24"/>
            </w:rPr>
            <w:t>19</w:t>
          </w:r>
          <w:r>
            <w:rPr>
              <w:sz w:val="24"/>
            </w:rPr>
            <w:fldChar w:fldCharType="end"/>
          </w:r>
          <w:r>
            <w:rPr>
              <w:sz w:val="24"/>
            </w:rPr>
            <w:fldChar w:fldCharType="end"/>
          </w:r>
        </w:p>
        <w:p>
          <w:pPr>
            <w:pStyle w:val="12"/>
            <w:adjustRightInd w:val="0"/>
            <w:snapToGrid w:val="0"/>
            <w:spacing w:line="440" w:lineRule="exact"/>
            <w:ind w:left="0" w:leftChars="0"/>
            <w:jc w:val="left"/>
            <w:rPr>
              <w:sz w:val="24"/>
            </w:rPr>
          </w:pPr>
          <w:r>
            <w:fldChar w:fldCharType="begin"/>
          </w:r>
          <w:r>
            <w:instrText xml:space="preserve"> HYPERLINK \l "_Toc113564677" </w:instrText>
          </w:r>
          <w:r>
            <w:fldChar w:fldCharType="separate"/>
          </w:r>
          <w:r>
            <w:rPr>
              <w:rFonts w:hint="eastAsia" w:ascii="仿宋" w:hAnsi="仿宋" w:eastAsia="仿宋"/>
              <w:sz w:val="24"/>
              <w:szCs w:val="28"/>
            </w:rPr>
            <w:t>第五部分</w:t>
          </w:r>
          <w:r>
            <w:rPr>
              <w:rFonts w:ascii="仿宋" w:hAnsi="仿宋" w:eastAsia="仿宋"/>
              <w:sz w:val="24"/>
              <w:szCs w:val="28"/>
            </w:rPr>
            <w:t xml:space="preserve"> </w:t>
          </w:r>
          <w:r>
            <w:rPr>
              <w:rFonts w:hint="eastAsia" w:ascii="仿宋" w:hAnsi="仿宋" w:eastAsia="仿宋"/>
              <w:sz w:val="24"/>
              <w:szCs w:val="28"/>
            </w:rPr>
            <w:t>附表</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ind w:left="0" w:leftChars="0"/>
            <w:jc w:val="left"/>
            <w:rPr>
              <w:sz w:val="24"/>
            </w:rPr>
          </w:pPr>
          <w:r>
            <w:fldChar w:fldCharType="begin"/>
          </w:r>
          <w:r>
            <w:instrText xml:space="preserve"> HYPERLINK \l "_Toc113564678" </w:instrText>
          </w:r>
          <w:r>
            <w:fldChar w:fldCharType="separate"/>
          </w:r>
          <w:r>
            <w:rPr>
              <w:rFonts w:hint="eastAsia"/>
              <w:sz w:val="24"/>
            </w:rPr>
            <w:t>一、收入支出决算总表</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"_Toc113564679" </w:instrText>
          </w:r>
          <w:r>
            <w:fldChar w:fldCharType="separate"/>
          </w:r>
          <w:r>
            <w:rPr>
              <w:rFonts w:hint="eastAsia"/>
              <w:sz w:val="24"/>
            </w:rPr>
            <w:t>二、收入决算表</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"_Toc113564680" </w:instrText>
          </w:r>
          <w:r>
            <w:fldChar w:fldCharType="separate"/>
          </w:r>
          <w:r>
            <w:rPr>
              <w:rFonts w:hint="eastAsia"/>
              <w:sz w:val="24"/>
            </w:rPr>
            <w:t>三、支出决算表</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"_Toc113564681" </w:instrText>
          </w:r>
          <w:r>
            <w:fldChar w:fldCharType="separate"/>
          </w:r>
          <w:r>
            <w:rPr>
              <w:rFonts w:hint="eastAsia"/>
              <w:sz w:val="24"/>
            </w:rPr>
            <w:t>四、财政拨款收入支出决算总表</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"_Toc113564682" </w:instrText>
          </w:r>
          <w:r>
            <w:fldChar w:fldCharType="separate"/>
          </w:r>
          <w:r>
            <w:rPr>
              <w:rFonts w:hint="eastAsia"/>
              <w:sz w:val="24"/>
            </w:rPr>
            <w:t>五、财政拨款支出决算明细表</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"_Toc113564683" </w:instrText>
          </w:r>
          <w:r>
            <w:fldChar w:fldCharType="separate"/>
          </w:r>
          <w:r>
            <w:rPr>
              <w:rFonts w:hint="eastAsia"/>
              <w:sz w:val="24"/>
            </w:rPr>
            <w:t>六、一般公共预算财政拨款支出决算表</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"_Toc113564684" </w:instrText>
          </w:r>
          <w:r>
            <w:fldChar w:fldCharType="separate"/>
          </w:r>
          <w:r>
            <w:rPr>
              <w:rFonts w:hint="eastAsia"/>
              <w:sz w:val="24"/>
            </w:rPr>
            <w:t>七、一般公共预算财政拨款支出决算明细表</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"_Toc113564685" </w:instrText>
          </w:r>
          <w:r>
            <w:fldChar w:fldCharType="separate"/>
          </w:r>
          <w:r>
            <w:rPr>
              <w:rFonts w:hint="eastAsia"/>
              <w:sz w:val="24"/>
            </w:rPr>
            <w:t>八、一般公共预算财政拨款基本支出决算表</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"_Toc113564686" </w:instrText>
          </w:r>
          <w:r>
            <w:fldChar w:fldCharType="separate"/>
          </w:r>
          <w:r>
            <w:rPr>
              <w:rFonts w:hint="eastAsia"/>
              <w:sz w:val="24"/>
            </w:rPr>
            <w:t>九、一般公共预算财政拨款项目支出决算表</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"_Toc113564687" </w:instrText>
          </w:r>
          <w:r>
            <w:fldChar w:fldCharType="separate"/>
          </w:r>
          <w:r>
            <w:rPr>
              <w:rFonts w:hint="eastAsia"/>
              <w:sz w:val="24"/>
            </w:rPr>
            <w:t>十、一般公共预算财政拨款“三公”经费支出决算表</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"_Toc113564688" </w:instrText>
          </w:r>
          <w:r>
            <w:fldChar w:fldCharType="separate"/>
          </w:r>
          <w:r>
            <w:rPr>
              <w:rFonts w:hint="eastAsia"/>
              <w:sz w:val="24"/>
            </w:rPr>
            <w:t>十一、政府性基金预算财政拨款收入支出决算表（此表无数据）</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"_Toc113564689" </w:instrText>
          </w:r>
          <w:r>
            <w:fldChar w:fldCharType="separate"/>
          </w:r>
          <w:r>
            <w:rPr>
              <w:rFonts w:hint="eastAsia"/>
              <w:sz w:val="24"/>
            </w:rPr>
            <w:t>十二、政府性基金预算财政拨款“三公”经费支出决算表（此表无数据</w:t>
          </w:r>
          <w:r>
            <w:rPr>
              <w:sz w:val="24"/>
            </w:rPr>
            <w:tab/>
          </w:r>
          <w:r>
            <w:rPr>
              <w:rFonts w:hint="eastAsia"/>
              <w:sz w:val="24"/>
            </w:rPr>
            <w:t>2</w:t>
          </w:r>
          <w:r>
            <w:rPr>
              <w:rFonts w:hint="eastAsia"/>
              <w:sz w:val="24"/>
            </w:rPr>
            <w:fldChar w:fldCharType="end"/>
          </w:r>
          <w:r>
            <w:rPr>
              <w:rFonts w:hint="eastAsia"/>
              <w:sz w:val="24"/>
            </w:rPr>
            <w:t>2</w:t>
          </w:r>
        </w:p>
        <w:p>
          <w:pPr>
            <w:pStyle w:val="12"/>
            <w:adjustRightInd w:val="0"/>
            <w:snapToGrid w:val="0"/>
            <w:spacing w:line="440" w:lineRule="exact"/>
            <w:jc w:val="left"/>
            <w:rPr>
              <w:sz w:val="24"/>
            </w:rPr>
          </w:pPr>
          <w:r>
            <w:fldChar w:fldCharType="begin"/>
          </w:r>
          <w:r>
            <w:instrText xml:space="preserve"> HYPERLINK \l "_Toc113564690" </w:instrText>
          </w:r>
          <w:r>
            <w:fldChar w:fldCharType="separate"/>
          </w:r>
          <w:r>
            <w:rPr>
              <w:rFonts w:hint="eastAsia"/>
              <w:sz w:val="24"/>
            </w:rPr>
            <w:t>十三、国有资本经营预算财政拨款收入支出决算表（此表无数据）</w:t>
          </w:r>
          <w:r>
            <w:rPr>
              <w:sz w:val="24"/>
            </w:rPr>
            <w:tab/>
          </w:r>
          <w:r>
            <w:rPr>
              <w:sz w:val="24"/>
            </w:rPr>
            <w:fldChar w:fldCharType="begin"/>
          </w:r>
          <w:r>
            <w:rPr>
              <w:sz w:val="24"/>
            </w:rPr>
            <w:instrText xml:space="preserve"> PAGEREF _Toc113564690 \h </w:instrText>
          </w:r>
          <w:r>
            <w:rPr>
              <w:sz w:val="24"/>
            </w:rPr>
            <w:fldChar w:fldCharType="separate"/>
          </w:r>
          <w:r>
            <w:rPr>
              <w:sz w:val="24"/>
            </w:rPr>
            <w:t>22</w:t>
          </w:r>
          <w:r>
            <w:rPr>
              <w:sz w:val="24"/>
            </w:rPr>
            <w:fldChar w:fldCharType="end"/>
          </w:r>
          <w:r>
            <w:rPr>
              <w:sz w:val="24"/>
            </w:rPr>
            <w:fldChar w:fldCharType="end"/>
          </w:r>
        </w:p>
        <w:p>
          <w:pPr>
            <w:pStyle w:val="12"/>
            <w:adjustRightInd w:val="0"/>
            <w:snapToGrid w:val="0"/>
            <w:spacing w:line="440" w:lineRule="exact"/>
            <w:jc w:val="left"/>
            <w:rPr>
              <w:sz w:val="24"/>
            </w:rPr>
          </w:pPr>
          <w:r>
            <w:fldChar w:fldCharType="begin"/>
          </w:r>
          <w:r>
            <w:instrText xml:space="preserve"> HYPERLINK \l "_Toc113564691" </w:instrText>
          </w:r>
          <w:r>
            <w:fldChar w:fldCharType="separate"/>
          </w:r>
          <w:r>
            <w:rPr>
              <w:rFonts w:hint="eastAsia"/>
              <w:sz w:val="24"/>
            </w:rPr>
            <w:t>十四、国有资本经营预算财政拨款支出决算表（此表无数据）</w:t>
          </w:r>
          <w:r>
            <w:rPr>
              <w:sz w:val="24"/>
            </w:rPr>
            <w:tab/>
          </w:r>
          <w:r>
            <w:rPr>
              <w:rFonts w:hint="eastAsia"/>
              <w:sz w:val="24"/>
            </w:rPr>
            <w:t>2</w:t>
          </w:r>
          <w:r>
            <w:rPr>
              <w:rFonts w:hint="eastAsia"/>
              <w:sz w:val="24"/>
            </w:rPr>
            <w:fldChar w:fldCharType="end"/>
          </w:r>
          <w:r>
            <w:rPr>
              <w:rFonts w:hint="eastAsia"/>
              <w:sz w:val="24"/>
            </w:rPr>
            <w:t>2</w:t>
          </w:r>
        </w:p>
        <w:p>
          <w:r>
            <w:rPr>
              <w:b/>
            </w:rPr>
            <w:fldChar w:fldCharType="end"/>
          </w:r>
        </w:p>
      </w:sdtContent>
    </w:sdt>
    <w:p>
      <w:pPr>
        <w:widowControl/>
        <w:spacing w:line="440" w:lineRule="exact"/>
        <w:jc w:val="left"/>
        <w:rPr>
          <w:rFonts w:ascii="仿宋" w:hAnsi="仿宋" w:eastAsia="仿宋"/>
          <w:bCs/>
          <w:kern w:val="44"/>
          <w:sz w:val="24"/>
        </w:rPr>
      </w:pPr>
      <w:bookmarkStart w:id="16" w:name="_Toc15377196"/>
      <w:bookmarkStart w:id="17" w:name="_Toc15396599"/>
      <w:r>
        <w:rPr>
          <w:rFonts w:ascii="仿宋" w:hAnsi="仿宋" w:eastAsia="仿宋"/>
          <w:b/>
          <w:sz w:val="24"/>
        </w:rPr>
        <w:br w:type="page"/>
      </w:r>
    </w:p>
    <w:p>
      <w:pPr>
        <w:pStyle w:val="3"/>
        <w:jc w:val="center"/>
        <w:rPr>
          <w:rFonts w:ascii="黑体" w:eastAsia="黑体"/>
          <w:sz w:val="32"/>
          <w:szCs w:val="32"/>
        </w:rPr>
      </w:pPr>
      <w:bookmarkStart w:id="18" w:name="_Toc113564657"/>
      <w:r>
        <w:rPr>
          <w:rFonts w:hint="eastAsia" w:ascii="黑体" w:hAnsi="黑体" w:eastAsia="黑体"/>
          <w:b w:val="0"/>
        </w:rPr>
        <w:t>第一部分 单位</w:t>
      </w:r>
      <w:r>
        <w:rPr>
          <w:rStyle w:val="25"/>
          <w:rFonts w:hint="eastAsia" w:ascii="黑体" w:hAnsi="黑体" w:eastAsia="黑体"/>
          <w:b w:val="0"/>
          <w:bCs w:val="0"/>
        </w:rPr>
        <w:t>概况</w:t>
      </w:r>
      <w:bookmarkEnd w:id="16"/>
      <w:bookmarkEnd w:id="17"/>
      <w:bookmarkEnd w:id="18"/>
    </w:p>
    <w:p>
      <w:pPr>
        <w:pStyle w:val="4"/>
        <w:ind w:firstLine="640" w:firstLineChars="200"/>
        <w:rPr>
          <w:rStyle w:val="26"/>
          <w:rFonts w:ascii="黑体" w:hAnsi="黑体" w:eastAsia="黑体"/>
          <w:b w:val="0"/>
          <w:bCs w:val="0"/>
        </w:rPr>
      </w:pPr>
      <w:bookmarkStart w:id="19" w:name="_Toc113564658"/>
      <w:bookmarkStart w:id="20" w:name="_Toc15396600"/>
      <w:bookmarkStart w:id="21" w:name="_Toc15377197"/>
      <w:r>
        <w:rPr>
          <w:rStyle w:val="26"/>
          <w:rFonts w:hint="eastAsia" w:ascii="黑体" w:hAnsi="黑体" w:eastAsia="黑体"/>
          <w:b w:val="0"/>
          <w:bCs w:val="0"/>
        </w:rPr>
        <w:t>一、职能简介</w:t>
      </w:r>
      <w:bookmarkEnd w:id="19"/>
    </w:p>
    <w:p>
      <w:pPr>
        <w:ind w:firstLine="640" w:firstLineChars="200"/>
      </w:pPr>
      <w:r>
        <w:rPr>
          <w:rFonts w:hint="eastAsia" w:ascii="仿宋" w:hAnsi="仿宋" w:eastAsia="仿宋"/>
          <w:bCs/>
          <w:sz w:val="32"/>
          <w:szCs w:val="32"/>
        </w:rPr>
        <w:t>负责处理全市受案范围内的劳动、人事争议案件及上级交办的案件；参与协调处理涉及人力资源和社会保障工作的突发涉稳事件；依法组织协调处理跨地区的劳动、人事争议；负责全市劳动人事争议仲裁专、兼职仲裁员和调解员的培训、考核、任免、管理工作；指导、协调全市劳动人事争议调解仲裁工作；指导全市劳动人事争议调解组织建设，指导开展劳动人事争议预防工作；劳动人事争议仲裁报表报送；研究提出劳动人事争议仲裁政策的意见，制定并组织实施劳动人事仲裁中长期规划。</w:t>
      </w:r>
    </w:p>
    <w:p>
      <w:pPr>
        <w:pStyle w:val="4"/>
        <w:ind w:firstLine="640" w:firstLineChars="200"/>
        <w:rPr>
          <w:rFonts w:ascii="黑体" w:hAnsi="黑体" w:eastAsia="黑体"/>
          <w:b w:val="0"/>
        </w:rPr>
      </w:pPr>
      <w:bookmarkStart w:id="22" w:name="_Toc113564659"/>
      <w:r>
        <w:rPr>
          <w:rFonts w:hint="eastAsia" w:ascii="黑体" w:hAnsi="黑体" w:eastAsia="黑体"/>
          <w:b w:val="0"/>
        </w:rPr>
        <w:t>二、2021年重点工作</w:t>
      </w:r>
      <w:bookmarkEnd w:id="20"/>
      <w:bookmarkEnd w:id="21"/>
      <w:r>
        <w:rPr>
          <w:rFonts w:hint="eastAsia" w:ascii="黑体" w:hAnsi="黑体" w:eastAsia="黑体"/>
          <w:b w:val="0"/>
        </w:rPr>
        <w:t>完成情况</w:t>
      </w:r>
      <w:bookmarkEnd w:id="22"/>
    </w:p>
    <w:p>
      <w:pPr>
        <w:ind w:firstLine="640" w:firstLineChars="200"/>
        <w:rPr>
          <w:rFonts w:ascii="仿宋" w:hAnsi="仿宋" w:eastAsia="仿宋"/>
          <w:bCs/>
          <w:kern w:val="0"/>
          <w:sz w:val="32"/>
          <w:szCs w:val="32"/>
        </w:rPr>
      </w:pPr>
      <w:r>
        <w:rPr>
          <w:rFonts w:hint="eastAsia" w:ascii="楷体" w:hAnsi="楷体" w:eastAsia="楷体" w:cs="楷体"/>
          <w:bCs/>
          <w:kern w:val="0"/>
          <w:sz w:val="32"/>
          <w:szCs w:val="32"/>
        </w:rPr>
        <w:t>（一）案件处理情况。</w:t>
      </w:r>
      <w:r>
        <w:rPr>
          <w:rFonts w:hint="eastAsia" w:ascii="仿宋" w:hAnsi="仿宋" w:eastAsia="仿宋"/>
          <w:bCs/>
          <w:kern w:val="0"/>
          <w:sz w:val="32"/>
          <w:szCs w:val="32"/>
        </w:rPr>
        <w:t>2021年，全市接待来访群众25000余人（次），处理劳动争议4384件，涉及劳动者4384人,涉及标的金额9717.47万元。其中，案前调解2804件,立案受理1580件(调解结案1078件，裁决结案502件，撤诉0件),调解率达88.55%，结案率达100%。</w:t>
      </w:r>
    </w:p>
    <w:p>
      <w:pPr>
        <w:ind w:firstLine="640" w:firstLineChars="200"/>
        <w:rPr>
          <w:rFonts w:ascii="仿宋" w:hAnsi="仿宋" w:eastAsia="仿宋"/>
          <w:bCs/>
          <w:kern w:val="0"/>
          <w:sz w:val="32"/>
          <w:szCs w:val="32"/>
        </w:rPr>
      </w:pPr>
      <w:r>
        <w:rPr>
          <w:rFonts w:hint="eastAsia" w:ascii="仿宋" w:hAnsi="仿宋" w:eastAsia="仿宋"/>
          <w:bCs/>
          <w:kern w:val="0"/>
          <w:sz w:val="32"/>
          <w:szCs w:val="32"/>
        </w:rPr>
        <w:t>2021年，我院接待来访群众12000余人（次），处理劳动争议998件，涉及劳动者998人,涉及标的金额1154.20万元。其中，案前调解791件，立案受理207件（调解结案件140件，裁决结案67件，撤诉0件），劳动争议调解率达93.29%，结案率达100%。</w:t>
      </w:r>
    </w:p>
    <w:p>
      <w:pPr>
        <w:ind w:firstLine="640" w:firstLineChars="200"/>
        <w:rPr>
          <w:rFonts w:ascii="仿宋" w:hAnsi="仿宋" w:eastAsia="仿宋"/>
          <w:bCs/>
          <w:kern w:val="0"/>
          <w:sz w:val="32"/>
          <w:szCs w:val="32"/>
        </w:rPr>
      </w:pPr>
      <w:r>
        <w:rPr>
          <w:rFonts w:hint="eastAsia" w:ascii="楷体" w:hAnsi="楷体" w:eastAsia="楷体" w:cs="楷体"/>
          <w:bCs/>
          <w:kern w:val="0"/>
          <w:sz w:val="32"/>
          <w:szCs w:val="32"/>
        </w:rPr>
        <w:t>（二）目标任务完成情况。</w:t>
      </w:r>
      <w:r>
        <w:rPr>
          <w:rFonts w:hint="eastAsia" w:ascii="仿宋" w:hAnsi="仿宋" w:eastAsia="仿宋"/>
          <w:bCs/>
          <w:kern w:val="0"/>
          <w:sz w:val="32"/>
          <w:szCs w:val="32"/>
        </w:rPr>
        <w:t>根据《攀枝花市人力资源和社会保障局&lt;关于印发2021 年全市人力资源和社会保障工作要点&gt;的通知》(</w:t>
      </w:r>
      <w:r>
        <w:rPr>
          <w:rFonts w:ascii="仿宋" w:hAnsi="仿宋" w:eastAsia="仿宋"/>
          <w:bCs/>
          <w:kern w:val="0"/>
          <w:sz w:val="32"/>
          <w:szCs w:val="32"/>
        </w:rPr>
        <w:t>攀人社发〔2021</w:t>
      </w:r>
      <w:r>
        <w:rPr>
          <w:rFonts w:hint="eastAsia" w:ascii="仿宋" w:hAnsi="仿宋" w:eastAsia="仿宋"/>
          <w:bCs/>
          <w:kern w:val="0"/>
          <w:sz w:val="32"/>
          <w:szCs w:val="32"/>
        </w:rPr>
        <w:t>〕</w:t>
      </w:r>
      <w:r>
        <w:rPr>
          <w:rFonts w:ascii="仿宋" w:hAnsi="仿宋" w:eastAsia="仿宋"/>
          <w:bCs/>
          <w:kern w:val="0"/>
          <w:sz w:val="32"/>
          <w:szCs w:val="32"/>
        </w:rPr>
        <w:t>119</w:t>
      </w:r>
      <w:r>
        <w:rPr>
          <w:rFonts w:hint="eastAsia" w:ascii="仿宋" w:hAnsi="仿宋" w:eastAsia="仿宋"/>
          <w:bCs/>
          <w:kern w:val="0"/>
          <w:sz w:val="32"/>
          <w:szCs w:val="32"/>
        </w:rPr>
        <w:t>号)文件要求，成功创建一家“省级金牌劳动人事争议调解组织”。2021年，结案率、调解率均超考核标准。</w:t>
      </w:r>
    </w:p>
    <w:p>
      <w:pPr>
        <w:ind w:firstLine="640" w:firstLineChars="200"/>
        <w:rPr>
          <w:rFonts w:ascii="仿宋" w:hAnsi="仿宋" w:eastAsia="仿宋"/>
          <w:bCs/>
          <w:kern w:val="0"/>
          <w:sz w:val="32"/>
          <w:szCs w:val="32"/>
        </w:rPr>
      </w:pPr>
      <w:r>
        <w:rPr>
          <w:rFonts w:hint="eastAsia" w:ascii="楷体" w:hAnsi="楷体" w:eastAsia="楷体" w:cs="楷体"/>
          <w:bCs/>
          <w:kern w:val="0"/>
          <w:sz w:val="32"/>
          <w:szCs w:val="32"/>
        </w:rPr>
        <w:t>（三）主要成绩和特色亮点。</w:t>
      </w:r>
      <w:r>
        <w:rPr>
          <w:rFonts w:hint="eastAsia" w:ascii="仿宋" w:hAnsi="仿宋" w:eastAsia="仿宋"/>
          <w:bCs/>
          <w:kern w:val="0"/>
          <w:sz w:val="32"/>
          <w:szCs w:val="32"/>
        </w:rPr>
        <w:t>2021年2月，我院经市矛盾纠纷多元化解工作领导小组评为2020年度矛盾纠纷多元化解工作“先进集体”。2021年9月我院参加2021年</w:t>
      </w:r>
      <w:r>
        <w:rPr>
          <w:rFonts w:ascii="仿宋" w:hAnsi="仿宋" w:eastAsia="仿宋"/>
          <w:bCs/>
          <w:kern w:val="0"/>
          <w:sz w:val="32"/>
          <w:szCs w:val="32"/>
        </w:rPr>
        <w:t>攀枝花市人力资源和社会保障统计分析撰写</w:t>
      </w:r>
      <w:r>
        <w:rPr>
          <w:rFonts w:hint="eastAsia" w:ascii="仿宋" w:hAnsi="仿宋" w:eastAsia="仿宋"/>
          <w:bCs/>
          <w:kern w:val="0"/>
          <w:sz w:val="32"/>
          <w:szCs w:val="32"/>
        </w:rPr>
        <w:t>，荣获二等奖。</w:t>
      </w:r>
    </w:p>
    <w:p>
      <w:pPr>
        <w:ind w:firstLine="640" w:firstLineChars="200"/>
        <w:rPr>
          <w:rFonts w:ascii="仿宋" w:hAnsi="仿宋" w:eastAsia="仿宋"/>
          <w:bCs/>
          <w:kern w:val="0"/>
          <w:sz w:val="32"/>
          <w:szCs w:val="32"/>
        </w:rPr>
      </w:pPr>
      <w:r>
        <w:rPr>
          <w:rFonts w:hint="eastAsia" w:ascii="仿宋" w:hAnsi="仿宋" w:eastAsia="仿宋"/>
          <w:bCs/>
          <w:kern w:val="0"/>
          <w:sz w:val="32"/>
          <w:szCs w:val="32"/>
        </w:rPr>
        <w:t>1.以创建省级劳动人事争议调解组织为抓手，强化服务理念，加强队伍建设，最大限度地将矛盾化解在基层。一是我院始终坚持“四个一”（一张笑脸相迎，一把椅子让座，一杯热水暖心，一席话语宽怀）的工作理念和“四入”（入心、入情、入理、入法）的工作方法，建立了来访登记、首问导诉、满意度测评等制度，始终保持接待咨询回访、矛盾排查等服务规范，着力塑造“窗口”形象。二是深入基层指导调解组织建设，加强对基层调解工作人员的业务</w:t>
      </w:r>
      <w:r>
        <w:rPr>
          <w:rFonts w:ascii="仿宋" w:hAnsi="仿宋" w:eastAsia="仿宋"/>
          <w:bCs/>
          <w:kern w:val="0"/>
          <w:sz w:val="32"/>
          <w:szCs w:val="32"/>
        </w:rPr>
        <w:t>指导</w:t>
      </w:r>
      <w:r>
        <w:rPr>
          <w:rFonts w:hint="eastAsia" w:ascii="仿宋" w:hAnsi="仿宋" w:eastAsia="仿宋"/>
          <w:bCs/>
          <w:kern w:val="0"/>
          <w:sz w:val="32"/>
          <w:szCs w:val="32"/>
        </w:rPr>
        <w:t>。2021年，我院共计深入基层调解组织12次，推动了基层调解组织的建设，规范了基层调解组织的接待、咨询、受理、调解等各个环节。强化预防、实化调解，全面提升基层调解组织的建设水平，最大限度将矛盾化解在基层、解决在源头，切实维护劳动</w:t>
      </w:r>
      <w:r>
        <w:rPr>
          <w:rFonts w:ascii="仿宋" w:hAnsi="仿宋" w:eastAsia="仿宋"/>
          <w:bCs/>
          <w:kern w:val="0"/>
          <w:sz w:val="32"/>
          <w:szCs w:val="32"/>
        </w:rPr>
        <w:t>关系</w:t>
      </w:r>
      <w:r>
        <w:rPr>
          <w:rFonts w:hint="eastAsia" w:ascii="仿宋" w:hAnsi="仿宋" w:eastAsia="仿宋"/>
          <w:bCs/>
          <w:kern w:val="0"/>
          <w:sz w:val="32"/>
          <w:szCs w:val="32"/>
        </w:rPr>
        <w:t>和谐稳定，促进经济社会长足发展。</w:t>
      </w:r>
    </w:p>
    <w:p>
      <w:pPr>
        <w:ind w:firstLine="640" w:firstLineChars="200"/>
        <w:rPr>
          <w:rFonts w:ascii="仿宋" w:hAnsi="仿宋" w:eastAsia="仿宋"/>
          <w:bCs/>
          <w:kern w:val="0"/>
          <w:sz w:val="32"/>
          <w:szCs w:val="32"/>
        </w:rPr>
      </w:pPr>
      <w:r>
        <w:rPr>
          <w:rFonts w:hint="eastAsia" w:ascii="仿宋" w:hAnsi="仿宋" w:eastAsia="仿宋"/>
          <w:bCs/>
          <w:kern w:val="0"/>
          <w:sz w:val="32"/>
          <w:szCs w:val="32"/>
        </w:rPr>
        <w:t>2.以裁决文书上网为重点，全面提升争议处理质量，实现 “内部监督”向“社会监督”转变。贯彻落实仲裁公开原则，把裁决书上传门户网站作为提高仲裁文书质量、拓宽仲裁监督渠道、促进仲裁公平正义、提升仲裁社会公信力的重要措施。截止2021年，门户网站共计上传各类业务文书729份（包含裁决书、开庭公告等），点击量达40万余次。</w:t>
      </w:r>
    </w:p>
    <w:p>
      <w:pPr>
        <w:ind w:firstLine="640" w:firstLineChars="200"/>
        <w:rPr>
          <w:rFonts w:ascii="仿宋" w:hAnsi="仿宋" w:eastAsia="仿宋"/>
          <w:bCs/>
          <w:kern w:val="0"/>
          <w:sz w:val="32"/>
          <w:szCs w:val="32"/>
        </w:rPr>
      </w:pPr>
      <w:r>
        <w:rPr>
          <w:rFonts w:hint="eastAsia" w:ascii="仿宋" w:hAnsi="仿宋" w:eastAsia="仿宋"/>
          <w:bCs/>
          <w:kern w:val="0"/>
          <w:sz w:val="32"/>
          <w:szCs w:val="32"/>
        </w:rPr>
        <w:t>3.以“流动仲裁庭”为重点，结合实际，多种宣传，全面提升劳动者的法律意识和学法守法用法的水平。结合“流动仲裁庭”“青年志愿者进企业”“</w:t>
      </w:r>
      <w:r>
        <w:rPr>
          <w:rFonts w:ascii="仿宋" w:hAnsi="仿宋" w:eastAsia="仿宋"/>
          <w:bCs/>
          <w:kern w:val="0"/>
          <w:sz w:val="32"/>
          <w:szCs w:val="32"/>
        </w:rPr>
        <w:t>五进”等活动</w:t>
      </w:r>
      <w:r>
        <w:rPr>
          <w:rFonts w:hint="eastAsia" w:ascii="仿宋" w:hAnsi="仿宋" w:eastAsia="仿宋"/>
          <w:bCs/>
          <w:kern w:val="0"/>
          <w:sz w:val="32"/>
          <w:szCs w:val="32"/>
        </w:rPr>
        <w:t>开展法治宣传，以庭审观摩和进基层两种形式，向企业经营管理者和广大职工进行</w:t>
      </w:r>
      <w:r>
        <w:rPr>
          <w:rFonts w:ascii="仿宋" w:hAnsi="仿宋" w:eastAsia="仿宋"/>
          <w:bCs/>
          <w:kern w:val="0"/>
          <w:sz w:val="32"/>
          <w:szCs w:val="32"/>
        </w:rPr>
        <w:t>常态化</w:t>
      </w:r>
      <w:r>
        <w:rPr>
          <w:rFonts w:hint="eastAsia" w:ascii="仿宋" w:hAnsi="仿宋" w:eastAsia="仿宋"/>
          <w:bCs/>
          <w:kern w:val="0"/>
          <w:sz w:val="32"/>
          <w:szCs w:val="32"/>
        </w:rPr>
        <w:t>法规宣传，通过以案学法、以案释法等，全面提升了劳动关系双方“权利与义务相统一”的法律意识和学法守法用法水平。2021年，我院共计开展“流动仲裁庭进园区进社区”“青年志愿者进企业”等活动10期，惠及70余家企业，3000余名劳动者。</w:t>
      </w:r>
    </w:p>
    <w:p>
      <w:pPr>
        <w:ind w:firstLine="640" w:firstLineChars="200"/>
        <w:rPr>
          <w:rFonts w:hint="eastAsia" w:ascii="仿宋" w:hAnsi="仿宋" w:eastAsia="仿宋"/>
          <w:bCs/>
          <w:kern w:val="0"/>
          <w:sz w:val="32"/>
          <w:szCs w:val="32"/>
        </w:rPr>
      </w:pPr>
      <w:r>
        <w:rPr>
          <w:rFonts w:hint="eastAsia" w:ascii="仿宋" w:hAnsi="仿宋" w:eastAsia="仿宋"/>
          <w:bCs/>
          <w:kern w:val="0"/>
          <w:sz w:val="32"/>
          <w:szCs w:val="32"/>
        </w:rPr>
        <w:t>4.以办案人员管理为重点，加强管理，增强素质，大力提高劳动仲裁办案质量和办案效率。一是借党史学习教育的契机，使全体干部职工更加坚定正确的政治方向和政治立场，明确仲裁工作的正确指导思想，在维护当事人合法权益的同时，维护社会稳定。二是加强法律法规及各项新政策的研讨学习。制定</w:t>
      </w:r>
      <w:r>
        <w:rPr>
          <w:rFonts w:ascii="仿宋" w:hAnsi="仿宋" w:eastAsia="仿宋"/>
          <w:bCs/>
          <w:kern w:val="0"/>
          <w:sz w:val="32"/>
          <w:szCs w:val="32"/>
        </w:rPr>
        <w:t>常态化学习机制，</w:t>
      </w:r>
      <w:r>
        <w:rPr>
          <w:rFonts w:hint="eastAsia" w:ascii="仿宋" w:hAnsi="仿宋" w:eastAsia="仿宋"/>
          <w:bCs/>
          <w:kern w:val="0"/>
          <w:sz w:val="32"/>
          <w:szCs w:val="32"/>
        </w:rPr>
        <w:t>每周五下午集中组织全体干部职工对近期颁布和施行的法律、法规及政策进行</w:t>
      </w:r>
      <w:r>
        <w:rPr>
          <w:rFonts w:ascii="仿宋" w:hAnsi="仿宋" w:eastAsia="仿宋"/>
          <w:bCs/>
          <w:kern w:val="0"/>
          <w:sz w:val="32"/>
          <w:szCs w:val="32"/>
        </w:rPr>
        <w:t>讨论</w:t>
      </w:r>
      <w:r>
        <w:rPr>
          <w:rFonts w:hint="eastAsia" w:ascii="仿宋" w:hAnsi="仿宋" w:eastAsia="仿宋"/>
          <w:bCs/>
          <w:kern w:val="0"/>
          <w:sz w:val="32"/>
          <w:szCs w:val="32"/>
        </w:rPr>
        <w:t>交流，让</w:t>
      </w:r>
      <w:r>
        <w:rPr>
          <w:rFonts w:ascii="仿宋" w:hAnsi="仿宋" w:eastAsia="仿宋"/>
          <w:bCs/>
          <w:kern w:val="0"/>
          <w:sz w:val="32"/>
          <w:szCs w:val="32"/>
        </w:rPr>
        <w:t>职工</w:t>
      </w:r>
      <w:r>
        <w:rPr>
          <w:rFonts w:hint="eastAsia" w:ascii="仿宋" w:hAnsi="仿宋" w:eastAsia="仿宋"/>
          <w:bCs/>
          <w:kern w:val="0"/>
          <w:sz w:val="32"/>
          <w:szCs w:val="32"/>
        </w:rPr>
        <w:t>深刻领会法律、法规和政策颁布的历史背景、立法意图、基本精神，不断增强仲裁员依法施政、依法办案的自觉性。三是不定时组织仲裁员进行专题业务讨论，鼓励和支持专、兼职仲裁员、书记员参加法律专业学习，进一步提高仲裁队伍法律理论水平，增强业务能力。四是坚持以人为本，积极为劳动者化解难题。我院</w:t>
      </w:r>
      <w:r>
        <w:rPr>
          <w:rFonts w:ascii="仿宋" w:hAnsi="仿宋" w:eastAsia="仿宋"/>
          <w:bCs/>
          <w:kern w:val="0"/>
          <w:sz w:val="32"/>
          <w:szCs w:val="32"/>
        </w:rPr>
        <w:t>始终</w:t>
      </w:r>
      <w:r>
        <w:rPr>
          <w:rFonts w:hint="eastAsia" w:ascii="仿宋" w:hAnsi="仿宋" w:eastAsia="仿宋"/>
          <w:bCs/>
          <w:kern w:val="0"/>
          <w:sz w:val="32"/>
          <w:szCs w:val="32"/>
        </w:rPr>
        <w:t>坚持“仲裁为民”的根本宗旨，在为弱势群体维好权，为</w:t>
      </w:r>
      <w:r>
        <w:rPr>
          <w:rFonts w:ascii="仿宋" w:hAnsi="仿宋" w:eastAsia="仿宋"/>
          <w:bCs/>
          <w:kern w:val="0"/>
          <w:sz w:val="32"/>
          <w:szCs w:val="32"/>
        </w:rPr>
        <w:t>双方当事人</w:t>
      </w:r>
      <w:r>
        <w:rPr>
          <w:rFonts w:hint="eastAsia" w:ascii="仿宋" w:hAnsi="仿宋" w:eastAsia="仿宋"/>
          <w:bCs/>
          <w:kern w:val="0"/>
          <w:sz w:val="32"/>
          <w:szCs w:val="32"/>
        </w:rPr>
        <w:t>服好务的基础上，优先</w:t>
      </w:r>
      <w:r>
        <w:rPr>
          <w:rFonts w:ascii="仿宋" w:hAnsi="仿宋" w:eastAsia="仿宋"/>
          <w:bCs/>
          <w:kern w:val="0"/>
          <w:sz w:val="32"/>
          <w:szCs w:val="32"/>
        </w:rPr>
        <w:t>以调解</w:t>
      </w:r>
      <w:r>
        <w:rPr>
          <w:rFonts w:hint="eastAsia" w:ascii="仿宋" w:hAnsi="仿宋" w:eastAsia="仿宋"/>
          <w:bCs/>
          <w:kern w:val="0"/>
          <w:sz w:val="32"/>
          <w:szCs w:val="32"/>
        </w:rPr>
        <w:t>的柔性手段</w:t>
      </w:r>
      <w:r>
        <w:rPr>
          <w:rFonts w:ascii="仿宋" w:hAnsi="仿宋" w:eastAsia="仿宋"/>
          <w:bCs/>
          <w:kern w:val="0"/>
          <w:sz w:val="32"/>
          <w:szCs w:val="32"/>
        </w:rPr>
        <w:t>，</w:t>
      </w:r>
      <w:r>
        <w:rPr>
          <w:rFonts w:hint="eastAsia" w:ascii="仿宋" w:hAnsi="仿宋" w:eastAsia="仿宋"/>
          <w:bCs/>
          <w:kern w:val="0"/>
          <w:sz w:val="32"/>
          <w:szCs w:val="32"/>
        </w:rPr>
        <w:t>帮助</w:t>
      </w:r>
      <w:r>
        <w:rPr>
          <w:rFonts w:ascii="仿宋" w:hAnsi="仿宋" w:eastAsia="仿宋"/>
          <w:bCs/>
          <w:kern w:val="0"/>
          <w:sz w:val="32"/>
          <w:szCs w:val="32"/>
        </w:rPr>
        <w:t>双方当事人</w:t>
      </w:r>
      <w:r>
        <w:rPr>
          <w:rFonts w:hint="eastAsia" w:ascii="仿宋" w:hAnsi="仿宋" w:eastAsia="仿宋"/>
          <w:bCs/>
          <w:kern w:val="0"/>
          <w:sz w:val="32"/>
          <w:szCs w:val="32"/>
        </w:rPr>
        <w:t>及时</w:t>
      </w:r>
      <w:r>
        <w:rPr>
          <w:rFonts w:ascii="仿宋" w:hAnsi="仿宋" w:eastAsia="仿宋"/>
          <w:bCs/>
          <w:kern w:val="0"/>
          <w:sz w:val="32"/>
          <w:szCs w:val="32"/>
        </w:rPr>
        <w:t>化解矛盾，扎实为</w:t>
      </w:r>
      <w:r>
        <w:rPr>
          <w:rFonts w:hint="eastAsia" w:ascii="仿宋" w:hAnsi="仿宋" w:eastAsia="仿宋"/>
          <w:bCs/>
          <w:kern w:val="0"/>
          <w:sz w:val="32"/>
          <w:szCs w:val="32"/>
        </w:rPr>
        <w:t>群众</w:t>
      </w:r>
      <w:r>
        <w:rPr>
          <w:rFonts w:ascii="仿宋" w:hAnsi="仿宋" w:eastAsia="仿宋"/>
          <w:bCs/>
          <w:kern w:val="0"/>
          <w:sz w:val="32"/>
          <w:szCs w:val="32"/>
        </w:rPr>
        <w:t>办实事、解难题，</w:t>
      </w:r>
      <w:r>
        <w:rPr>
          <w:rFonts w:hint="eastAsia" w:ascii="仿宋" w:hAnsi="仿宋" w:eastAsia="仿宋"/>
          <w:bCs/>
          <w:kern w:val="0"/>
          <w:sz w:val="32"/>
          <w:szCs w:val="32"/>
        </w:rPr>
        <w:t>做到既“暖人心”、又“聚民心”，为维护全市和谐稳定保驾护航。</w:t>
      </w:r>
    </w:p>
    <w:p>
      <w:pPr>
        <w:pStyle w:val="4"/>
        <w:ind w:firstLine="640" w:firstLineChars="200"/>
        <w:rPr>
          <w:rStyle w:val="26"/>
          <w:rFonts w:hint="eastAsia" w:ascii="黑体" w:hAnsi="黑体" w:eastAsia="黑体"/>
          <w:b w:val="0"/>
          <w:bCs w:val="0"/>
          <w:lang w:eastAsia="zh-CN"/>
        </w:rPr>
      </w:pPr>
      <w:r>
        <w:rPr>
          <w:rStyle w:val="26"/>
          <w:rFonts w:hint="eastAsia" w:ascii="黑体" w:hAnsi="黑体" w:eastAsia="黑体"/>
          <w:b w:val="0"/>
          <w:bCs w:val="0"/>
          <w:lang w:eastAsia="zh-CN"/>
        </w:rPr>
        <w:t>三</w:t>
      </w:r>
      <w:r>
        <w:rPr>
          <w:rStyle w:val="26"/>
          <w:rFonts w:hint="eastAsia" w:ascii="黑体" w:hAnsi="黑体" w:eastAsia="黑体"/>
          <w:b w:val="0"/>
          <w:bCs w:val="0"/>
        </w:rPr>
        <w:t>、</w:t>
      </w:r>
      <w:r>
        <w:rPr>
          <w:rStyle w:val="26"/>
          <w:rFonts w:hint="eastAsia" w:ascii="黑体" w:hAnsi="黑体" w:eastAsia="黑体"/>
          <w:b w:val="0"/>
          <w:bCs w:val="0"/>
          <w:lang w:eastAsia="zh-CN"/>
        </w:rPr>
        <w:t>机构设置情况</w:t>
      </w:r>
    </w:p>
    <w:p>
      <w:pPr>
        <w:pStyle w:val="2"/>
        <w:spacing w:before="93"/>
        <w:ind w:firstLine="640" w:firstLineChars="200"/>
        <w:rPr>
          <w:rFonts w:hint="eastAsia" w:ascii="仿宋" w:hAnsi="仿宋" w:eastAsia="仿宋"/>
          <w:kern w:val="2"/>
          <w:sz w:val="32"/>
          <w:szCs w:val="32"/>
        </w:rPr>
      </w:pPr>
      <w:bookmarkStart w:id="23" w:name="_Toc15377204"/>
      <w:bookmarkStart w:id="24" w:name="_Toc113564660"/>
      <w:bookmarkStart w:id="25" w:name="_Toc15396602"/>
      <w:r>
        <w:rPr>
          <w:rFonts w:hint="eastAsia" w:ascii="仿宋" w:hAnsi="仿宋" w:eastAsia="仿宋"/>
          <w:bCs/>
          <w:sz w:val="32"/>
          <w:szCs w:val="32"/>
        </w:rPr>
        <w:t>攀枝花市劳动人事争议仲裁院于2007年经攀枝花市机构编制委员会（攀编发</w:t>
      </w:r>
      <w:r>
        <w:rPr>
          <w:rFonts w:hint="eastAsia" w:ascii="仿宋_GB2312" w:hAnsi="仿宋_GB2312" w:eastAsia="仿宋_GB2312" w:cs="仿宋_GB2312"/>
          <w:bCs/>
          <w:sz w:val="32"/>
          <w:szCs w:val="32"/>
        </w:rPr>
        <w:t>〔</w:t>
      </w:r>
      <w:r>
        <w:rPr>
          <w:rFonts w:hint="eastAsia" w:ascii="仿宋" w:hAnsi="仿宋" w:eastAsia="仿宋"/>
          <w:bCs/>
          <w:sz w:val="32"/>
          <w:szCs w:val="32"/>
        </w:rPr>
        <w:t>2007</w:t>
      </w:r>
      <w:r>
        <w:rPr>
          <w:rFonts w:hint="eastAsia" w:ascii="仿宋_GB2312" w:hAnsi="仿宋_GB2312" w:eastAsia="仿宋_GB2312" w:cs="仿宋_GB2312"/>
          <w:bCs/>
          <w:sz w:val="32"/>
          <w:szCs w:val="32"/>
        </w:rPr>
        <w:t>〕</w:t>
      </w:r>
      <w:r>
        <w:rPr>
          <w:rFonts w:hint="eastAsia" w:ascii="仿宋" w:hAnsi="仿宋" w:eastAsia="仿宋"/>
          <w:bCs/>
          <w:sz w:val="32"/>
          <w:szCs w:val="32"/>
        </w:rPr>
        <w:t>25号）批准成立，是攀枝花市人力资源和社会保障局下属的</w:t>
      </w:r>
      <w:r>
        <w:rPr>
          <w:rFonts w:hint="eastAsia" w:ascii="仿宋" w:hAnsi="仿宋" w:eastAsia="仿宋"/>
          <w:bCs/>
          <w:sz w:val="32"/>
          <w:szCs w:val="32"/>
          <w:lang w:eastAsia="zh-CN"/>
        </w:rPr>
        <w:t>二级预算</w:t>
      </w:r>
      <w:r>
        <w:rPr>
          <w:rFonts w:hint="eastAsia" w:ascii="仿宋" w:hAnsi="仿宋" w:eastAsia="仿宋"/>
          <w:bCs/>
          <w:sz w:val="32"/>
          <w:szCs w:val="32"/>
        </w:rPr>
        <w:t>单位，</w:t>
      </w:r>
      <w:r>
        <w:rPr>
          <w:rFonts w:hint="eastAsia" w:ascii="仿宋" w:hAnsi="仿宋" w:eastAsia="仿宋"/>
          <w:kern w:val="2"/>
          <w:sz w:val="32"/>
          <w:szCs w:val="32"/>
        </w:rPr>
        <w:t>下设独立编制机构0个，其中行政机构0个，参照公务员法管理的事业机构0个，其他事业机构0个。</w:t>
      </w:r>
    </w:p>
    <w:p>
      <w:pPr>
        <w:pStyle w:val="2"/>
        <w:spacing w:before="93"/>
        <w:ind w:firstLine="640" w:firstLineChars="200"/>
        <w:rPr>
          <w:rFonts w:hint="eastAsia" w:ascii="仿宋" w:hAnsi="仿宋" w:eastAsia="仿宋"/>
          <w:kern w:val="2"/>
          <w:sz w:val="32"/>
          <w:szCs w:val="32"/>
        </w:rPr>
      </w:pPr>
      <w:r>
        <w:rPr>
          <w:rFonts w:hint="eastAsia" w:ascii="仿宋" w:hAnsi="仿宋" w:eastAsia="仿宋"/>
          <w:kern w:val="2"/>
          <w:sz w:val="32"/>
          <w:szCs w:val="32"/>
        </w:rPr>
        <w:t>纳入2021年度单位决算编制范围的独立编制机构包括：无。</w:t>
      </w:r>
    </w:p>
    <w:p>
      <w:pPr>
        <w:pStyle w:val="2"/>
        <w:rPr>
          <w:rFonts w:hint="eastAsia"/>
        </w:rPr>
      </w:pPr>
      <w:bookmarkStart w:id="107" w:name="_GoBack"/>
      <w:bookmarkEnd w:id="107"/>
    </w:p>
    <w:p>
      <w:pPr>
        <w:pStyle w:val="3"/>
        <w:ind w:right="440"/>
        <w:jc w:val="center"/>
        <w:rPr>
          <w:rStyle w:val="25"/>
          <w:rFonts w:ascii="黑体" w:hAnsi="黑体" w:eastAsia="黑体"/>
          <w:b w:val="0"/>
          <w:bCs/>
        </w:rPr>
      </w:pPr>
      <w:r>
        <w:rPr>
          <w:rFonts w:hint="eastAsia" w:ascii="黑体" w:hAnsi="黑体" w:eastAsia="黑体"/>
          <w:b w:val="0"/>
        </w:rPr>
        <w:t>第二部分 2021年度</w:t>
      </w:r>
      <w:r>
        <w:rPr>
          <w:rStyle w:val="25"/>
          <w:rFonts w:hint="eastAsia" w:ascii="黑体" w:hAnsi="黑体" w:eastAsia="黑体"/>
          <w:b w:val="0"/>
          <w:bCs/>
        </w:rPr>
        <w:t>单位决算情况说明</w:t>
      </w:r>
      <w:bookmarkEnd w:id="23"/>
      <w:bookmarkEnd w:id="24"/>
      <w:bookmarkEnd w:id="25"/>
    </w:p>
    <w:p/>
    <w:p>
      <w:pPr>
        <w:pStyle w:val="24"/>
        <w:numPr>
          <w:ilvl w:val="0"/>
          <w:numId w:val="1"/>
        </w:numPr>
        <w:spacing w:line="600" w:lineRule="exact"/>
        <w:ind w:firstLineChars="0"/>
        <w:outlineLvl w:val="1"/>
        <w:rPr>
          <w:rStyle w:val="26"/>
          <w:rFonts w:ascii="黑体" w:hAnsi="黑体" w:eastAsia="黑体"/>
          <w:b w:val="0"/>
        </w:rPr>
      </w:pPr>
      <w:bookmarkStart w:id="26" w:name="_Toc15377205"/>
      <w:bookmarkStart w:id="27" w:name="_Toc15396603"/>
      <w:bookmarkStart w:id="28" w:name="_Toc113564661"/>
      <w:r>
        <w:rPr>
          <w:rFonts w:hint="eastAsia" w:ascii="黑体" w:hAnsi="黑体" w:eastAsia="黑体"/>
          <w:sz w:val="32"/>
          <w:szCs w:val="32"/>
        </w:rPr>
        <w:t>收</w:t>
      </w:r>
      <w:r>
        <w:rPr>
          <w:rStyle w:val="26"/>
          <w:rFonts w:hint="eastAsia" w:ascii="黑体" w:hAnsi="黑体" w:eastAsia="黑体"/>
          <w:b w:val="0"/>
        </w:rPr>
        <w:t>入支出决算总体情况说明</w:t>
      </w:r>
      <w:bookmarkEnd w:id="26"/>
      <w:bookmarkEnd w:id="27"/>
      <w:bookmarkEnd w:id="28"/>
    </w:p>
    <w:p>
      <w:pPr>
        <w:spacing w:line="600" w:lineRule="exact"/>
        <w:ind w:firstLine="640" w:firstLineChars="200"/>
        <w:rPr>
          <w:rFonts w:ascii="仿宋_GB2312" w:hAnsi="仿宋" w:eastAsia="仿宋_GB2312"/>
          <w:sz w:val="32"/>
          <w:szCs w:val="32"/>
        </w:rPr>
      </w:pPr>
      <w:r>
        <w:rPr>
          <w:rFonts w:hint="eastAsia" w:ascii="仿宋" w:hAnsi="仿宋" w:eastAsia="仿宋"/>
          <w:sz w:val="32"/>
          <w:szCs w:val="32"/>
        </w:rPr>
        <w:t>2021年度收、支总计</w:t>
      </w:r>
      <w:r>
        <w:rPr>
          <w:rFonts w:ascii="仿宋" w:hAnsi="仿宋" w:eastAsia="仿宋"/>
          <w:sz w:val="32"/>
          <w:szCs w:val="32"/>
        </w:rPr>
        <w:t>103.39</w:t>
      </w:r>
      <w:r>
        <w:rPr>
          <w:rFonts w:hint="eastAsia" w:ascii="仿宋" w:hAnsi="仿宋" w:eastAsia="仿宋"/>
          <w:sz w:val="32"/>
          <w:szCs w:val="32"/>
        </w:rPr>
        <w:t>万元。与2020年相比，收、支总计各减少</w:t>
      </w:r>
      <w:r>
        <w:rPr>
          <w:rFonts w:ascii="仿宋" w:hAnsi="仿宋" w:eastAsia="仿宋"/>
          <w:sz w:val="32"/>
          <w:szCs w:val="32"/>
        </w:rPr>
        <w:t>10.88</w:t>
      </w:r>
      <w:r>
        <w:rPr>
          <w:rFonts w:hint="eastAsia" w:ascii="仿宋" w:hAnsi="仿宋" w:eastAsia="仿宋"/>
          <w:sz w:val="32"/>
          <w:szCs w:val="32"/>
        </w:rPr>
        <w:t>万元，下降</w:t>
      </w:r>
      <w:r>
        <w:rPr>
          <w:rFonts w:ascii="仿宋" w:hAnsi="仿宋" w:eastAsia="仿宋"/>
          <w:sz w:val="32"/>
          <w:szCs w:val="32"/>
        </w:rPr>
        <w:t>9.52%</w:t>
      </w:r>
      <w:r>
        <w:rPr>
          <w:rFonts w:hint="eastAsia" w:ascii="仿宋" w:hAnsi="仿宋" w:eastAsia="仿宋"/>
          <w:sz w:val="32"/>
          <w:szCs w:val="32"/>
        </w:rPr>
        <w:t>。主要变动原因是</w:t>
      </w:r>
      <w:r>
        <w:rPr>
          <w:rFonts w:hint="eastAsia" w:ascii="仿宋_GB2312" w:hAnsi="仿宋" w:eastAsia="仿宋_GB2312"/>
          <w:sz w:val="32"/>
          <w:szCs w:val="32"/>
        </w:rPr>
        <w:t>财政紧缩，严控各项支出。</w:t>
      </w:r>
    </w:p>
    <w:p>
      <w:pPr>
        <w:pStyle w:val="2"/>
        <w:spacing w:before="93"/>
        <w:jc w:val="center"/>
        <w:rPr>
          <w:rFonts w:hAnsi="仿宋"/>
          <w:sz w:val="32"/>
          <w:szCs w:val="32"/>
        </w:rPr>
      </w:pPr>
      <w:r>
        <w:rPr>
          <w:rFonts w:hint="eastAsia" w:hAnsi="仿宋"/>
          <w:sz w:val="32"/>
          <w:szCs w:val="32"/>
        </w:rPr>
        <w:drawing>
          <wp:inline distT="0" distB="0" distL="114300" distR="114300">
            <wp:extent cx="4584065" cy="2755265"/>
            <wp:effectExtent l="0" t="0" r="6985" b="6985"/>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6"/>
                    <a:stretch>
                      <a:fillRect/>
                    </a:stretch>
                  </pic:blipFill>
                  <pic:spPr>
                    <a:xfrm>
                      <a:off x="0" y="0"/>
                      <a:ext cx="4584065" cy="2755265"/>
                    </a:xfrm>
                    <a:prstGeom prst="rect">
                      <a:avLst/>
                    </a:prstGeom>
                  </pic:spPr>
                </pic:pic>
              </a:graphicData>
            </a:graphic>
          </wp:inline>
        </w:drawing>
      </w:r>
    </w:p>
    <w:p>
      <w:pPr>
        <w:spacing w:line="600" w:lineRule="exact"/>
        <w:jc w:val="center"/>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24"/>
        <w:numPr>
          <w:ilvl w:val="0"/>
          <w:numId w:val="1"/>
        </w:numPr>
        <w:spacing w:line="600" w:lineRule="exact"/>
        <w:ind w:firstLineChars="0"/>
        <w:outlineLvl w:val="1"/>
        <w:rPr>
          <w:rStyle w:val="26"/>
          <w:rFonts w:ascii="黑体" w:hAnsi="黑体" w:eastAsia="黑体"/>
          <w:b w:val="0"/>
        </w:rPr>
      </w:pPr>
      <w:bookmarkStart w:id="29" w:name="_Toc113564662"/>
      <w:bookmarkStart w:id="30" w:name="_Toc15396604"/>
      <w:bookmarkStart w:id="31" w:name="_Toc15377206"/>
      <w:r>
        <w:rPr>
          <w:rFonts w:hint="eastAsia" w:ascii="黑体" w:hAnsi="黑体" w:eastAsia="黑体"/>
          <w:sz w:val="32"/>
          <w:szCs w:val="32"/>
        </w:rPr>
        <w:t>收</w:t>
      </w:r>
      <w:r>
        <w:rPr>
          <w:rStyle w:val="26"/>
          <w:rFonts w:hint="eastAsia" w:ascii="黑体" w:hAnsi="黑体" w:eastAsia="黑体"/>
          <w:b w:val="0"/>
        </w:rPr>
        <w:t>入决算情况说明</w:t>
      </w:r>
      <w:bookmarkEnd w:id="29"/>
      <w:bookmarkEnd w:id="30"/>
      <w:bookmarkEnd w:id="31"/>
    </w:p>
    <w:p>
      <w:pPr>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21年本年收入合计96.39万元，其中：一般公共预算财政拨款收入</w:t>
      </w:r>
      <w:r>
        <w:rPr>
          <w:rFonts w:ascii="仿宋" w:hAnsi="仿宋" w:eastAsia="仿宋"/>
          <w:sz w:val="32"/>
          <w:szCs w:val="32"/>
        </w:rPr>
        <w:t>96.39</w:t>
      </w:r>
      <w:r>
        <w:rPr>
          <w:rFonts w:hint="eastAsia" w:ascii="仿宋" w:hAnsi="仿宋" w:eastAsia="仿宋"/>
          <w:sz w:val="32"/>
          <w:szCs w:val="32"/>
        </w:rPr>
        <w:t>万元，占100</w:t>
      </w:r>
      <w:r>
        <w:rPr>
          <w:rFonts w:ascii="仿宋" w:hAnsi="仿宋" w:eastAsia="仿宋"/>
          <w:sz w:val="32"/>
          <w:szCs w:val="32"/>
        </w:rPr>
        <w:t>%</w:t>
      </w:r>
      <w:r>
        <w:rPr>
          <w:rFonts w:hint="eastAsia" w:ascii="仿宋" w:hAnsi="仿宋" w:eastAsia="仿宋"/>
          <w:sz w:val="32"/>
          <w:szCs w:val="32"/>
        </w:rPr>
        <w:t>；政府性基金预算财政拨款收入0万元，占</w:t>
      </w:r>
      <w:r>
        <w:rPr>
          <w:rFonts w:ascii="仿宋" w:hAnsi="仿宋" w:eastAsia="仿宋"/>
          <w:sz w:val="32"/>
          <w:szCs w:val="32"/>
        </w:rPr>
        <w:t>0%</w:t>
      </w:r>
      <w:r>
        <w:rPr>
          <w:rFonts w:hint="eastAsia" w:ascii="仿宋" w:hAnsi="仿宋" w:eastAsia="仿宋"/>
          <w:sz w:val="32"/>
          <w:szCs w:val="32"/>
        </w:rPr>
        <w:t>；国有资本经营预算财政拨款收入</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；上级补助收入</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；经营收入</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；附属单位上缴收入</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jc w:val="center"/>
        <w:rPr>
          <w:rFonts w:ascii="仿宋" w:hAnsi="仿宋" w:eastAsia="仿宋"/>
          <w:sz w:val="32"/>
          <w:szCs w:val="32"/>
        </w:rPr>
      </w:pPr>
    </w:p>
    <w:p>
      <w:pPr>
        <w:spacing w:line="600" w:lineRule="exact"/>
        <w:rPr>
          <w:rFonts w:ascii="仿宋" w:hAnsi="仿宋" w:eastAsia="仿宋"/>
          <w:sz w:val="32"/>
          <w:szCs w:val="32"/>
        </w:rPr>
      </w:pPr>
      <w:r>
        <w:rPr>
          <w:rFonts w:hint="eastAsia" w:ascii="仿宋" w:hAnsi="仿宋" w:eastAsia="仿宋"/>
          <w:sz w:val="32"/>
          <w:szCs w:val="32"/>
        </w:rPr>
        <w:drawing>
          <wp:anchor distT="0" distB="0" distL="114300" distR="114300" simplePos="0" relativeHeight="251659264" behindDoc="1" locked="0" layoutInCell="1" allowOverlap="1">
            <wp:simplePos x="0" y="0"/>
            <wp:positionH relativeFrom="column">
              <wp:posOffset>497205</wp:posOffset>
            </wp:positionH>
            <wp:positionV relativeFrom="paragraph">
              <wp:posOffset>180975</wp:posOffset>
            </wp:positionV>
            <wp:extent cx="4584065" cy="2755265"/>
            <wp:effectExtent l="0" t="0" r="6985" b="6985"/>
            <wp:wrapTight wrapText="bothSides">
              <wp:wrapPolygon>
                <wp:start x="0" y="0"/>
                <wp:lineTo x="0" y="21505"/>
                <wp:lineTo x="21543" y="21505"/>
                <wp:lineTo x="21543" y="0"/>
                <wp:lineTo x="0" y="0"/>
              </wp:wrapPolygon>
            </wp:wrapTight>
            <wp:docPr id="4" name="图片 4"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2"/>
                    <pic:cNvPicPr>
                      <a:picLocks noChangeAspect="1"/>
                    </pic:cNvPicPr>
                  </pic:nvPicPr>
                  <pic:blipFill>
                    <a:blip r:embed="rId7"/>
                    <a:stretch>
                      <a:fillRect/>
                    </a:stretch>
                  </pic:blipFill>
                  <pic:spPr>
                    <a:xfrm>
                      <a:off x="0" y="0"/>
                      <a:ext cx="4584065" cy="2755265"/>
                    </a:xfrm>
                    <a:prstGeom prst="rect">
                      <a:avLst/>
                    </a:prstGeom>
                  </pic:spPr>
                </pic:pic>
              </a:graphicData>
            </a:graphic>
          </wp:anchor>
        </w:drawing>
      </w:r>
    </w:p>
    <w:p>
      <w:pPr>
        <w:spacing w:line="600" w:lineRule="exact"/>
        <w:ind w:firstLine="640" w:firstLineChars="200"/>
        <w:jc w:val="center"/>
        <w:rPr>
          <w:rFonts w:ascii="仿宋" w:hAnsi="仿宋" w:eastAsia="仿宋"/>
          <w:sz w:val="32"/>
          <w:szCs w:val="32"/>
        </w:rPr>
      </w:pPr>
      <w:r>
        <w:rPr>
          <w:rFonts w:hint="eastAsia" w:ascii="黑体" w:hAnsi="黑体" w:eastAsia="黑体"/>
          <w:sz w:val="32"/>
          <w:szCs w:val="32"/>
        </w:rPr>
        <w:drawing>
          <wp:anchor distT="0" distB="0" distL="114300" distR="114300" simplePos="0" relativeHeight="251660288" behindDoc="1" locked="0" layoutInCell="1" allowOverlap="1">
            <wp:simplePos x="0" y="0"/>
            <wp:positionH relativeFrom="column">
              <wp:posOffset>358775</wp:posOffset>
            </wp:positionH>
            <wp:positionV relativeFrom="paragraph">
              <wp:posOffset>2476500</wp:posOffset>
            </wp:positionV>
            <wp:extent cx="4584065" cy="2755265"/>
            <wp:effectExtent l="0" t="0" r="6985" b="6985"/>
            <wp:wrapTight wrapText="bothSides">
              <wp:wrapPolygon>
                <wp:start x="0" y="0"/>
                <wp:lineTo x="0" y="21505"/>
                <wp:lineTo x="21543" y="21505"/>
                <wp:lineTo x="21543" y="0"/>
                <wp:lineTo x="0" y="0"/>
              </wp:wrapPolygon>
            </wp:wrapTight>
            <wp:docPr id="8" name="图片 8"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3"/>
                    <pic:cNvPicPr>
                      <a:picLocks noChangeAspect="1"/>
                    </pic:cNvPicPr>
                  </pic:nvPicPr>
                  <pic:blipFill>
                    <a:blip r:embed="rId8"/>
                    <a:stretch>
                      <a:fillRect/>
                    </a:stretch>
                  </pic:blipFill>
                  <pic:spPr>
                    <a:xfrm>
                      <a:off x="0" y="0"/>
                      <a:ext cx="4584065" cy="2755265"/>
                    </a:xfrm>
                    <a:prstGeom prst="rect">
                      <a:avLst/>
                    </a:prstGeom>
                  </pic:spPr>
                </pic:pic>
              </a:graphicData>
            </a:graphic>
          </wp:anchor>
        </w:drawing>
      </w:r>
      <w:r>
        <w:rPr>
          <w:rFonts w:hint="eastAsia" w:ascii="仿宋" w:hAnsi="仿宋" w:eastAsia="仿宋"/>
          <w:sz w:val="32"/>
          <w:szCs w:val="32"/>
        </w:rPr>
        <w:t>（图2：收入决算结构图）</w:t>
      </w:r>
    </w:p>
    <w:p>
      <w:pPr>
        <w:pStyle w:val="24"/>
        <w:numPr>
          <w:ilvl w:val="0"/>
          <w:numId w:val="1"/>
        </w:numPr>
        <w:spacing w:line="600" w:lineRule="exact"/>
        <w:ind w:firstLineChars="0"/>
        <w:outlineLvl w:val="1"/>
        <w:rPr>
          <w:rStyle w:val="26"/>
          <w:rFonts w:ascii="黑体" w:hAnsi="黑体" w:eastAsia="黑体"/>
          <w:b w:val="0"/>
        </w:rPr>
      </w:pPr>
      <w:bookmarkStart w:id="32" w:name="_Toc113564663"/>
      <w:bookmarkStart w:id="33" w:name="_Toc15377207"/>
      <w:bookmarkStart w:id="34" w:name="_Toc15396605"/>
      <w:r>
        <w:rPr>
          <w:rFonts w:hint="eastAsia" w:ascii="黑体" w:hAnsi="黑体" w:eastAsia="黑体"/>
          <w:sz w:val="32"/>
          <w:szCs w:val="32"/>
        </w:rPr>
        <w:t>支</w:t>
      </w:r>
      <w:r>
        <w:rPr>
          <w:rStyle w:val="26"/>
          <w:rFonts w:hint="eastAsia" w:ascii="黑体" w:hAnsi="黑体" w:eastAsia="黑体"/>
          <w:b w:val="0"/>
        </w:rPr>
        <w:t>出决算情况说明</w:t>
      </w:r>
      <w:bookmarkEnd w:id="32"/>
      <w:bookmarkEnd w:id="33"/>
      <w:bookmarkEnd w:id="34"/>
    </w:p>
    <w:p>
      <w:pPr>
        <w:spacing w:line="600" w:lineRule="exact"/>
        <w:ind w:firstLine="640" w:firstLineChars="200"/>
        <w:outlineLvl w:val="1"/>
        <w:rPr>
          <w:rFonts w:ascii="仿宋" w:hAnsi="仿宋" w:eastAsia="仿宋"/>
          <w:sz w:val="32"/>
          <w:szCs w:val="32"/>
        </w:rPr>
      </w:pPr>
      <w:bookmarkStart w:id="35" w:name="_Toc23835"/>
      <w:bookmarkStart w:id="36" w:name="_Toc113564664"/>
      <w:r>
        <w:rPr>
          <w:rFonts w:ascii="仿宋" w:hAnsi="仿宋" w:eastAsia="仿宋"/>
          <w:sz w:val="32"/>
          <w:szCs w:val="32"/>
        </w:rPr>
        <w:t>20</w:t>
      </w:r>
      <w:r>
        <w:rPr>
          <w:rFonts w:hint="eastAsia" w:ascii="仿宋" w:hAnsi="仿宋" w:eastAsia="仿宋"/>
          <w:sz w:val="32"/>
          <w:szCs w:val="32"/>
        </w:rPr>
        <w:t>21年本年支出合计</w:t>
      </w:r>
      <w:r>
        <w:rPr>
          <w:rFonts w:ascii="仿宋" w:hAnsi="仿宋" w:eastAsia="仿宋"/>
          <w:sz w:val="32"/>
          <w:szCs w:val="32"/>
        </w:rPr>
        <w:t>103.39</w:t>
      </w:r>
      <w:r>
        <w:rPr>
          <w:rFonts w:hint="eastAsia" w:ascii="仿宋" w:hAnsi="仿宋" w:eastAsia="仿宋"/>
          <w:sz w:val="32"/>
          <w:szCs w:val="32"/>
        </w:rPr>
        <w:t>万元，其中：基本支出</w:t>
      </w:r>
      <w:r>
        <w:rPr>
          <w:rFonts w:ascii="仿宋" w:hAnsi="仿宋" w:eastAsia="仿宋"/>
          <w:sz w:val="32"/>
          <w:szCs w:val="32"/>
        </w:rPr>
        <w:t>83.44</w:t>
      </w:r>
      <w:r>
        <w:rPr>
          <w:rFonts w:hint="eastAsia" w:ascii="仿宋" w:hAnsi="仿宋" w:eastAsia="仿宋"/>
          <w:sz w:val="32"/>
          <w:szCs w:val="32"/>
        </w:rPr>
        <w:t>万元，占</w:t>
      </w:r>
      <w:r>
        <w:rPr>
          <w:rFonts w:ascii="仿宋" w:hAnsi="仿宋" w:eastAsia="仿宋"/>
          <w:sz w:val="32"/>
          <w:szCs w:val="32"/>
        </w:rPr>
        <w:t>80.70%</w:t>
      </w:r>
      <w:r>
        <w:rPr>
          <w:rFonts w:hint="eastAsia" w:ascii="仿宋" w:hAnsi="仿宋" w:eastAsia="仿宋"/>
          <w:sz w:val="32"/>
          <w:szCs w:val="32"/>
        </w:rPr>
        <w:t>；项目支出</w:t>
      </w:r>
      <w:r>
        <w:rPr>
          <w:rFonts w:ascii="仿宋" w:hAnsi="仿宋" w:eastAsia="仿宋"/>
          <w:sz w:val="32"/>
          <w:szCs w:val="32"/>
        </w:rPr>
        <w:t>19.95</w:t>
      </w:r>
      <w:r>
        <w:rPr>
          <w:rFonts w:hint="eastAsia" w:ascii="仿宋" w:hAnsi="仿宋" w:eastAsia="仿宋"/>
          <w:sz w:val="32"/>
          <w:szCs w:val="32"/>
        </w:rPr>
        <w:t>万元，占</w:t>
      </w:r>
      <w:r>
        <w:rPr>
          <w:rFonts w:ascii="仿宋" w:hAnsi="仿宋" w:eastAsia="仿宋"/>
          <w:sz w:val="32"/>
          <w:szCs w:val="32"/>
        </w:rPr>
        <w:t>19.30%</w:t>
      </w:r>
      <w:r>
        <w:rPr>
          <w:rFonts w:hint="eastAsia" w:ascii="仿宋" w:hAnsi="仿宋" w:eastAsia="仿宋"/>
          <w:sz w:val="32"/>
          <w:szCs w:val="32"/>
        </w:rPr>
        <w:t>；上缴上级支出</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；经营支出</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；对附属单位补助支出</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w:t>
      </w:r>
      <w:bookmarkEnd w:id="35"/>
      <w:bookmarkEnd w:id="36"/>
    </w:p>
    <w:p>
      <w:pPr>
        <w:spacing w:line="600" w:lineRule="exact"/>
        <w:ind w:firstLine="640" w:firstLineChars="200"/>
        <w:rPr>
          <w:rFonts w:ascii="黑体" w:hAnsi="黑体" w:eastAsia="黑体"/>
          <w:sz w:val="32"/>
          <w:szCs w:val="32"/>
        </w:rPr>
      </w:pPr>
      <w:bookmarkStart w:id="37" w:name="_Toc15396606"/>
      <w:bookmarkStart w:id="38" w:name="_Toc15377208"/>
    </w:p>
    <w:p>
      <w:pPr>
        <w:spacing w:line="600" w:lineRule="exact"/>
        <w:ind w:firstLine="640" w:firstLineChars="200"/>
        <w:rPr>
          <w:rFonts w:ascii="黑体" w:hAnsi="黑体" w:eastAsia="黑体"/>
          <w:sz w:val="32"/>
          <w:szCs w:val="32"/>
        </w:rPr>
      </w:pPr>
    </w:p>
    <w:p>
      <w:pPr>
        <w:spacing w:line="600" w:lineRule="exact"/>
        <w:jc w:val="center"/>
        <w:rPr>
          <w:rFonts w:ascii="仿宋" w:hAnsi="仿宋" w:eastAsia="仿宋"/>
          <w:sz w:val="32"/>
          <w:szCs w:val="32"/>
        </w:rPr>
      </w:pPr>
      <w:r>
        <w:rPr>
          <w:rFonts w:hint="eastAsia" w:ascii="仿宋" w:hAnsi="仿宋" w:eastAsia="仿宋"/>
          <w:sz w:val="32"/>
          <w:szCs w:val="32"/>
        </w:rPr>
        <w:t>（图3：支出决算结构图）</w:t>
      </w:r>
    </w:p>
    <w:p>
      <w:pPr>
        <w:spacing w:line="600" w:lineRule="exact"/>
        <w:ind w:firstLine="640" w:firstLineChars="200"/>
        <w:outlineLvl w:val="1"/>
        <w:rPr>
          <w:rStyle w:val="26"/>
          <w:rFonts w:ascii="黑体" w:hAnsi="黑体" w:eastAsia="黑体"/>
          <w:b w:val="0"/>
        </w:rPr>
      </w:pPr>
      <w:bookmarkStart w:id="39" w:name="_Toc113564665"/>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37"/>
      <w:bookmarkEnd w:id="38"/>
      <w:bookmarkEnd w:id="39"/>
    </w:p>
    <w:p>
      <w:pPr>
        <w:spacing w:line="600" w:lineRule="exact"/>
        <w:ind w:firstLine="640"/>
        <w:rPr>
          <w:rFonts w:ascii="仿宋_GB2312" w:hAnsi="仿宋" w:eastAsia="仿宋_GB2312"/>
          <w:sz w:val="32"/>
          <w:szCs w:val="32"/>
        </w:rPr>
      </w:pPr>
      <w:r>
        <w:rPr>
          <w:rFonts w:ascii="仿宋" w:hAnsi="仿宋" w:eastAsia="仿宋"/>
          <w:sz w:val="32"/>
          <w:szCs w:val="32"/>
        </w:rPr>
        <w:t>20</w:t>
      </w:r>
      <w:r>
        <w:rPr>
          <w:rFonts w:hint="eastAsia" w:ascii="仿宋" w:hAnsi="仿宋" w:eastAsia="仿宋"/>
          <w:sz w:val="32"/>
          <w:szCs w:val="32"/>
        </w:rPr>
        <w:t>21年财政拨款收、支总计103.39万元。与</w:t>
      </w:r>
      <w:r>
        <w:rPr>
          <w:rFonts w:ascii="仿宋" w:hAnsi="仿宋" w:eastAsia="仿宋"/>
          <w:sz w:val="32"/>
          <w:szCs w:val="32"/>
        </w:rPr>
        <w:t>20</w:t>
      </w:r>
      <w:r>
        <w:rPr>
          <w:rFonts w:hint="eastAsia" w:ascii="仿宋" w:hAnsi="仿宋" w:eastAsia="仿宋"/>
          <w:sz w:val="32"/>
          <w:szCs w:val="32"/>
        </w:rPr>
        <w:t>20年相比，财政拨款收、支总计各减少</w:t>
      </w:r>
      <w:r>
        <w:rPr>
          <w:rFonts w:ascii="仿宋" w:hAnsi="仿宋" w:eastAsia="仿宋"/>
          <w:sz w:val="32"/>
          <w:szCs w:val="32"/>
        </w:rPr>
        <w:t>1</w:t>
      </w:r>
      <w:r>
        <w:rPr>
          <w:rFonts w:hint="eastAsia" w:ascii="仿宋" w:hAnsi="仿宋" w:eastAsia="仿宋"/>
          <w:sz w:val="32"/>
          <w:szCs w:val="32"/>
        </w:rPr>
        <w:t>0</w:t>
      </w:r>
      <w:r>
        <w:rPr>
          <w:rFonts w:ascii="仿宋" w:hAnsi="仿宋" w:eastAsia="仿宋"/>
          <w:sz w:val="32"/>
          <w:szCs w:val="32"/>
        </w:rPr>
        <w:t>.88</w:t>
      </w:r>
      <w:r>
        <w:rPr>
          <w:rFonts w:hint="eastAsia" w:ascii="仿宋" w:hAnsi="仿宋" w:eastAsia="仿宋"/>
          <w:sz w:val="32"/>
          <w:szCs w:val="32"/>
        </w:rPr>
        <w:t>万元，下降9.52</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szCs w:val="32"/>
        </w:rPr>
        <w:t>财政紧缩，严控各项支出。</w:t>
      </w:r>
    </w:p>
    <w:p>
      <w:pPr>
        <w:pStyle w:val="2"/>
        <w:spacing w:before="93"/>
        <w:jc w:val="center"/>
      </w:pPr>
      <w:r>
        <w:rPr>
          <w:rFonts w:hint="eastAsia"/>
        </w:rPr>
        <w:drawing>
          <wp:inline distT="0" distB="0" distL="114300" distR="114300">
            <wp:extent cx="4584065" cy="2755265"/>
            <wp:effectExtent l="0" t="0" r="6985" b="6985"/>
            <wp:docPr id="9" name="图片 9"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4"/>
                    <pic:cNvPicPr>
                      <a:picLocks noChangeAspect="1"/>
                    </pic:cNvPicPr>
                  </pic:nvPicPr>
                  <pic:blipFill>
                    <a:blip r:embed="rId9"/>
                    <a:stretch>
                      <a:fillRect/>
                    </a:stretch>
                  </pic:blipFill>
                  <pic:spPr>
                    <a:xfrm>
                      <a:off x="0" y="0"/>
                      <a:ext cx="4584065" cy="2755265"/>
                    </a:xfrm>
                    <a:prstGeom prst="rect">
                      <a:avLst/>
                    </a:prstGeom>
                  </pic:spPr>
                </pic:pic>
              </a:graphicData>
            </a:graphic>
          </wp:inline>
        </w:drawing>
      </w:r>
    </w:p>
    <w:p>
      <w:pPr>
        <w:spacing w:line="600" w:lineRule="exact"/>
        <w:jc w:val="center"/>
        <w:rPr>
          <w:rFonts w:ascii="仿宋" w:hAnsi="仿宋" w:eastAsia="仿宋"/>
          <w:sz w:val="32"/>
          <w:szCs w:val="32"/>
        </w:rPr>
      </w:pPr>
      <w:r>
        <w:rPr>
          <w:rFonts w:hint="eastAsia" w:ascii="仿宋" w:hAnsi="仿宋" w:eastAsia="仿宋"/>
          <w:sz w:val="32"/>
          <w:szCs w:val="32"/>
        </w:rPr>
        <w:t>（图4：财政拨款收、支决算总计变动情况）</w:t>
      </w:r>
      <w:bookmarkStart w:id="40" w:name="_Toc15396607"/>
      <w:bookmarkStart w:id="41" w:name="_Toc15377209"/>
    </w:p>
    <w:p>
      <w:pPr>
        <w:spacing w:line="600" w:lineRule="exact"/>
        <w:ind w:firstLine="640" w:firstLineChars="200"/>
        <w:outlineLvl w:val="1"/>
        <w:rPr>
          <w:rStyle w:val="26"/>
          <w:rFonts w:ascii="黑体" w:hAnsi="黑体" w:eastAsia="黑体"/>
          <w:b w:val="0"/>
        </w:rPr>
      </w:pPr>
      <w:bookmarkStart w:id="42" w:name="_Toc113564666"/>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40"/>
      <w:bookmarkEnd w:id="41"/>
      <w:bookmarkEnd w:id="42"/>
    </w:p>
    <w:p>
      <w:pPr>
        <w:spacing w:line="600" w:lineRule="exact"/>
        <w:ind w:firstLine="643" w:firstLineChars="200"/>
        <w:outlineLvl w:val="2"/>
        <w:rPr>
          <w:rFonts w:ascii="仿宋" w:hAnsi="仿宋" w:eastAsia="仿宋"/>
          <w:b/>
          <w:sz w:val="32"/>
          <w:szCs w:val="32"/>
        </w:rPr>
      </w:pPr>
      <w:bookmarkStart w:id="43" w:name="_Toc15377210"/>
      <w:r>
        <w:rPr>
          <w:rFonts w:hint="eastAsia" w:ascii="仿宋" w:hAnsi="仿宋" w:eastAsia="仿宋"/>
          <w:b/>
          <w:sz w:val="32"/>
          <w:szCs w:val="32"/>
        </w:rPr>
        <w:t>（一）一般公共预算财政拨款支出决算总体情况</w:t>
      </w:r>
      <w:bookmarkEnd w:id="43"/>
    </w:p>
    <w:p>
      <w:pPr>
        <w:spacing w:line="600" w:lineRule="exact"/>
        <w:ind w:firstLine="640" w:firstLineChars="200"/>
        <w:rPr>
          <w:rFonts w:ascii="仿宋_GB2312" w:hAnsi="仿宋" w:eastAsia="仿宋_GB2312"/>
          <w:sz w:val="32"/>
          <w:szCs w:val="32"/>
        </w:rPr>
      </w:pPr>
      <w:r>
        <w:rPr>
          <w:rFonts w:ascii="仿宋" w:hAnsi="仿宋" w:eastAsia="仿宋"/>
          <w:sz w:val="32"/>
          <w:szCs w:val="32"/>
        </w:rPr>
        <w:t>20</w:t>
      </w:r>
      <w:r>
        <w:rPr>
          <w:rFonts w:hint="eastAsia" w:ascii="仿宋" w:hAnsi="仿宋" w:eastAsia="仿宋"/>
          <w:sz w:val="32"/>
          <w:szCs w:val="32"/>
        </w:rPr>
        <w:t>21年一般公共预算财政拨款支出103.39万元，占本年支出合计的100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20年相比，一般公共预算财政拨款支出减少</w:t>
      </w:r>
      <w:r>
        <w:rPr>
          <w:rFonts w:ascii="仿宋" w:hAnsi="仿宋" w:eastAsia="仿宋"/>
          <w:sz w:val="32"/>
          <w:szCs w:val="32"/>
        </w:rPr>
        <w:t>1</w:t>
      </w:r>
      <w:r>
        <w:rPr>
          <w:rFonts w:hint="eastAsia" w:ascii="仿宋" w:hAnsi="仿宋" w:eastAsia="仿宋"/>
          <w:sz w:val="32"/>
          <w:szCs w:val="32"/>
        </w:rPr>
        <w:t>0</w:t>
      </w:r>
      <w:r>
        <w:rPr>
          <w:rFonts w:ascii="仿宋" w:hAnsi="仿宋" w:eastAsia="仿宋"/>
          <w:sz w:val="32"/>
          <w:szCs w:val="32"/>
        </w:rPr>
        <w:t>.88</w:t>
      </w:r>
      <w:r>
        <w:rPr>
          <w:rFonts w:hint="eastAsia" w:ascii="仿宋" w:hAnsi="仿宋" w:eastAsia="仿宋"/>
          <w:sz w:val="32"/>
          <w:szCs w:val="32"/>
        </w:rPr>
        <w:t>万元，下降9.52</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szCs w:val="32"/>
        </w:rPr>
        <w:t>财政紧缩，严控各项支出。</w:t>
      </w:r>
    </w:p>
    <w:p>
      <w:pPr>
        <w:pStyle w:val="2"/>
        <w:spacing w:before="93"/>
      </w:pPr>
    </w:p>
    <w:p>
      <w:pPr>
        <w:spacing w:line="600" w:lineRule="exact"/>
        <w:jc w:val="center"/>
        <w:rPr>
          <w:rFonts w:ascii="仿宋" w:hAnsi="仿宋" w:eastAsia="仿宋"/>
          <w:sz w:val="32"/>
          <w:szCs w:val="32"/>
        </w:rPr>
      </w:pPr>
    </w:p>
    <w:p>
      <w:pPr>
        <w:spacing w:line="600" w:lineRule="exact"/>
        <w:jc w:val="center"/>
        <w:rPr>
          <w:rFonts w:ascii="仿宋" w:hAnsi="仿宋" w:eastAsia="仿宋"/>
          <w:sz w:val="32"/>
          <w:szCs w:val="32"/>
        </w:rPr>
      </w:pPr>
    </w:p>
    <w:p>
      <w:pPr>
        <w:spacing w:line="600" w:lineRule="exact"/>
        <w:jc w:val="center"/>
        <w:rPr>
          <w:rFonts w:ascii="仿宋" w:hAnsi="仿宋" w:eastAsia="仿宋"/>
          <w:sz w:val="32"/>
          <w:szCs w:val="32"/>
        </w:rPr>
      </w:pPr>
    </w:p>
    <w:p>
      <w:pPr>
        <w:spacing w:line="600" w:lineRule="exact"/>
        <w:jc w:val="center"/>
        <w:rPr>
          <w:rFonts w:ascii="仿宋" w:hAnsi="仿宋" w:eastAsia="仿宋"/>
          <w:sz w:val="32"/>
          <w:szCs w:val="32"/>
        </w:rPr>
      </w:pPr>
      <w:r>
        <w:rPr>
          <w:rFonts w:hint="eastAsia" w:ascii="仿宋" w:hAnsi="仿宋" w:eastAsia="仿宋"/>
          <w:sz w:val="32"/>
          <w:szCs w:val="32"/>
        </w:rPr>
        <w:drawing>
          <wp:anchor distT="0" distB="0" distL="114300" distR="114300" simplePos="0" relativeHeight="251663360" behindDoc="1" locked="0" layoutInCell="1" allowOverlap="1">
            <wp:simplePos x="0" y="0"/>
            <wp:positionH relativeFrom="column">
              <wp:posOffset>294005</wp:posOffset>
            </wp:positionH>
            <wp:positionV relativeFrom="paragraph">
              <wp:posOffset>171450</wp:posOffset>
            </wp:positionV>
            <wp:extent cx="4584065" cy="2755265"/>
            <wp:effectExtent l="0" t="0" r="6985" b="6985"/>
            <wp:wrapTight wrapText="bothSides">
              <wp:wrapPolygon>
                <wp:start x="0" y="0"/>
                <wp:lineTo x="0" y="21505"/>
                <wp:lineTo x="21543" y="21505"/>
                <wp:lineTo x="21543" y="0"/>
                <wp:lineTo x="0" y="0"/>
              </wp:wrapPolygon>
            </wp:wrapTight>
            <wp:docPr id="5" name="图片 5" descr="图片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10"/>
                    <pic:cNvPicPr>
                      <a:picLocks noChangeAspect="1"/>
                    </pic:cNvPicPr>
                  </pic:nvPicPr>
                  <pic:blipFill>
                    <a:blip r:embed="rId10"/>
                    <a:stretch>
                      <a:fillRect/>
                    </a:stretch>
                  </pic:blipFill>
                  <pic:spPr>
                    <a:xfrm>
                      <a:off x="0" y="0"/>
                      <a:ext cx="4584065" cy="2755265"/>
                    </a:xfrm>
                    <a:prstGeom prst="rect">
                      <a:avLst/>
                    </a:prstGeom>
                  </pic:spPr>
                </pic:pic>
              </a:graphicData>
            </a:graphic>
          </wp:anchor>
        </w:drawing>
      </w:r>
    </w:p>
    <w:p>
      <w:pPr>
        <w:spacing w:line="600" w:lineRule="exact"/>
        <w:jc w:val="center"/>
        <w:rPr>
          <w:rFonts w:ascii="仿宋" w:hAnsi="仿宋" w:eastAsia="仿宋"/>
          <w:sz w:val="32"/>
          <w:szCs w:val="32"/>
        </w:rPr>
      </w:pPr>
    </w:p>
    <w:p>
      <w:pPr>
        <w:spacing w:line="600" w:lineRule="exact"/>
        <w:jc w:val="center"/>
        <w:rPr>
          <w:rFonts w:ascii="仿宋" w:hAnsi="仿宋" w:eastAsia="仿宋"/>
          <w:sz w:val="32"/>
          <w:szCs w:val="32"/>
        </w:rPr>
      </w:pPr>
      <w:r>
        <w:rPr>
          <w:rFonts w:hint="eastAsia" w:ascii="仿宋" w:hAnsi="仿宋" w:eastAsia="仿宋"/>
          <w:sz w:val="32"/>
          <w:szCs w:val="32"/>
        </w:rPr>
        <w:t>（图5：一般公共预算财政拨款支出决算变动情况）</w:t>
      </w:r>
      <w:bookmarkStart w:id="44" w:name="_Toc15377211"/>
    </w:p>
    <w:p>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（二）一般公共预算财政拨款支出决算结构情况</w:t>
      </w:r>
      <w:bookmarkEnd w:id="44"/>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21年一般公共预算财政拨款支出103.39万元，主要用于以下方面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sz w:val="32"/>
          <w:szCs w:val="32"/>
        </w:rPr>
        <w:t>支出</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w:t>
      </w:r>
      <w:r>
        <w:rPr>
          <w:rFonts w:hint="eastAsia" w:ascii="仿宋" w:hAnsi="仿宋" w:eastAsia="仿宋"/>
          <w:b/>
          <w:sz w:val="32"/>
          <w:szCs w:val="32"/>
        </w:rPr>
        <w:t>科学技术（类）</w:t>
      </w:r>
      <w:r>
        <w:rPr>
          <w:rFonts w:hint="eastAsia" w:ascii="仿宋" w:hAnsi="仿宋" w:eastAsia="仿宋"/>
          <w:sz w:val="32"/>
          <w:szCs w:val="32"/>
        </w:rPr>
        <w:t>支出</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w:t>
      </w:r>
      <w:r>
        <w:rPr>
          <w:rFonts w:hint="eastAsia" w:ascii="仿宋" w:hAnsi="仿宋" w:eastAsia="仿宋"/>
          <w:b/>
          <w:bCs/>
          <w:sz w:val="32"/>
          <w:szCs w:val="32"/>
        </w:rPr>
        <w:t>文化旅游体育与传媒（类）</w:t>
      </w:r>
      <w:r>
        <w:rPr>
          <w:rFonts w:hint="eastAsia" w:ascii="仿宋" w:hAnsi="仿宋" w:eastAsia="仿宋"/>
          <w:sz w:val="32"/>
          <w:szCs w:val="32"/>
        </w:rPr>
        <w:t>支出</w:t>
      </w:r>
      <w:r>
        <w:rPr>
          <w:rFonts w:ascii="仿宋" w:hAnsi="仿宋" w:eastAsia="仿宋"/>
          <w:b/>
          <w:bCs/>
          <w:sz w:val="32"/>
          <w:szCs w:val="32"/>
        </w:rPr>
        <w:t>0</w:t>
      </w:r>
      <w:r>
        <w:rPr>
          <w:rFonts w:hint="eastAsia" w:ascii="仿宋" w:hAnsi="仿宋" w:eastAsia="仿宋"/>
          <w:b/>
          <w:bCs/>
          <w:sz w:val="32"/>
          <w:szCs w:val="32"/>
        </w:rPr>
        <w:t>万元，占</w:t>
      </w:r>
      <w:r>
        <w:rPr>
          <w:rFonts w:ascii="仿宋" w:hAnsi="仿宋" w:eastAsia="仿宋"/>
          <w:b/>
          <w:bCs/>
          <w:sz w:val="32"/>
          <w:szCs w:val="32"/>
        </w:rPr>
        <w:t>0%</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支出98.31万元，占95.09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w:t>
      </w:r>
      <w:r>
        <w:rPr>
          <w:rFonts w:hint="eastAsia" w:ascii="仿宋" w:hAnsi="仿宋" w:eastAsia="仿宋"/>
          <w:b/>
          <w:sz w:val="32"/>
          <w:szCs w:val="32"/>
        </w:rPr>
        <w:t>（类）</w:t>
      </w:r>
      <w:r>
        <w:rPr>
          <w:rFonts w:hint="eastAsia" w:ascii="仿宋" w:hAnsi="仿宋" w:eastAsia="仿宋"/>
          <w:b/>
          <w:bCs/>
          <w:sz w:val="32"/>
          <w:szCs w:val="32"/>
        </w:rPr>
        <w:t>支出</w:t>
      </w:r>
      <w:r>
        <w:rPr>
          <w:rFonts w:ascii="仿宋" w:hAnsi="仿宋" w:eastAsia="仿宋"/>
          <w:sz w:val="32"/>
          <w:szCs w:val="32"/>
        </w:rPr>
        <w:t>0</w:t>
      </w:r>
      <w:r>
        <w:rPr>
          <w:rFonts w:hint="eastAsia" w:ascii="仿宋" w:hAnsi="仿宋" w:eastAsia="仿宋"/>
          <w:sz w:val="32"/>
          <w:szCs w:val="32"/>
        </w:rPr>
        <w:t>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住房保障（类）</w:t>
      </w:r>
      <w:r>
        <w:rPr>
          <w:rFonts w:hint="eastAsia" w:ascii="仿宋" w:hAnsi="仿宋" w:eastAsia="仿宋"/>
          <w:sz w:val="32"/>
          <w:szCs w:val="32"/>
        </w:rPr>
        <w:t>支出5.08万元，占4.91</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62336" behindDoc="1" locked="0" layoutInCell="1" allowOverlap="1">
            <wp:simplePos x="0" y="0"/>
            <wp:positionH relativeFrom="column">
              <wp:posOffset>301625</wp:posOffset>
            </wp:positionH>
            <wp:positionV relativeFrom="paragraph">
              <wp:posOffset>171450</wp:posOffset>
            </wp:positionV>
            <wp:extent cx="4584065" cy="2755265"/>
            <wp:effectExtent l="0" t="0" r="6985" b="6985"/>
            <wp:wrapTight wrapText="bothSides">
              <wp:wrapPolygon>
                <wp:start x="0" y="0"/>
                <wp:lineTo x="0" y="21505"/>
                <wp:lineTo x="21543" y="21505"/>
                <wp:lineTo x="21543" y="0"/>
                <wp:lineTo x="0" y="0"/>
              </wp:wrapPolygon>
            </wp:wrapTight>
            <wp:docPr id="2" name="图片 2" descr="图片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9"/>
                    <pic:cNvPicPr>
                      <a:picLocks noChangeAspect="1"/>
                    </pic:cNvPicPr>
                  </pic:nvPicPr>
                  <pic:blipFill>
                    <a:blip r:embed="rId11"/>
                    <a:stretch>
                      <a:fillRect/>
                    </a:stretch>
                  </pic:blipFill>
                  <pic:spPr>
                    <a:xfrm>
                      <a:off x="0" y="0"/>
                      <a:ext cx="4584065" cy="2755265"/>
                    </a:xfrm>
                    <a:prstGeom prst="rect">
                      <a:avLst/>
                    </a:prstGeom>
                  </pic:spPr>
                </pic:pic>
              </a:graphicData>
            </a:graphic>
          </wp:anchor>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3" w:firstLineChars="200"/>
        <w:outlineLvl w:val="2"/>
        <w:rPr>
          <w:rFonts w:ascii="仿宋" w:hAnsi="仿宋" w:eastAsia="仿宋"/>
          <w:b/>
          <w:sz w:val="32"/>
          <w:szCs w:val="32"/>
        </w:rPr>
      </w:pPr>
      <w:bookmarkStart w:id="45" w:name="_Toc15377212"/>
      <w:r>
        <w:rPr>
          <w:rFonts w:hint="eastAsia" w:ascii="仿宋" w:hAnsi="仿宋" w:eastAsia="仿宋"/>
          <w:b/>
          <w:sz w:val="32"/>
          <w:szCs w:val="32"/>
        </w:rPr>
        <w:t>（三）一般公共预算财政拨款支出决算具体情况</w:t>
      </w:r>
      <w:bookmarkEnd w:id="45"/>
    </w:p>
    <w:p>
      <w:pPr>
        <w:spacing w:line="600" w:lineRule="exact"/>
        <w:ind w:firstLine="643" w:firstLineChars="200"/>
        <w:outlineLvl w:val="1"/>
        <w:rPr>
          <w:rFonts w:ascii="仿宋" w:hAnsi="仿宋" w:eastAsia="仿宋"/>
          <w:sz w:val="32"/>
          <w:szCs w:val="32"/>
        </w:rPr>
      </w:pPr>
      <w:bookmarkStart w:id="46" w:name="_Toc24372"/>
      <w:bookmarkStart w:id="47" w:name="_Toc15377213"/>
      <w:bookmarkStart w:id="48" w:name="_Toc15377444"/>
      <w:bookmarkStart w:id="49" w:name="_Toc113564667"/>
      <w:bookmarkStart w:id="50" w:name="_Toc15378460"/>
      <w:r>
        <w:rPr>
          <w:rFonts w:hint="eastAsia" w:ascii="仿宋" w:hAnsi="仿宋" w:eastAsia="仿宋"/>
          <w:b/>
          <w:sz w:val="32"/>
          <w:szCs w:val="32"/>
        </w:rPr>
        <w:t>2021年一般公共预算支出决算数为</w:t>
      </w:r>
      <w:r>
        <w:rPr>
          <w:rFonts w:ascii="仿宋" w:hAnsi="仿宋" w:eastAsia="仿宋"/>
          <w:b/>
          <w:sz w:val="32"/>
          <w:szCs w:val="32"/>
        </w:rPr>
        <w:t>103.39</w:t>
      </w:r>
      <w:r>
        <w:rPr>
          <w:rFonts w:hint="eastAsia" w:ascii="仿宋" w:hAnsi="仿宋" w:eastAsia="仿宋"/>
          <w:b/>
          <w:sz w:val="32"/>
          <w:szCs w:val="32"/>
        </w:rPr>
        <w:t>万元</w:t>
      </w:r>
      <w:r>
        <w:rPr>
          <w:rFonts w:hint="eastAsia" w:ascii="仿宋" w:hAnsi="仿宋" w:eastAsia="仿宋"/>
          <w:sz w:val="32"/>
          <w:szCs w:val="32"/>
        </w:rPr>
        <w:t>，</w:t>
      </w:r>
      <w:r>
        <w:rPr>
          <w:rStyle w:val="15"/>
          <w:rFonts w:hint="eastAsia" w:ascii="仿宋" w:hAnsi="仿宋" w:eastAsia="仿宋"/>
          <w:bCs/>
          <w:sz w:val="32"/>
          <w:szCs w:val="32"/>
        </w:rPr>
        <w:t>完成预算</w:t>
      </w:r>
      <w:r>
        <w:rPr>
          <w:rStyle w:val="15"/>
          <w:rFonts w:ascii="仿宋" w:hAnsi="仿宋" w:eastAsia="仿宋"/>
          <w:bCs/>
          <w:sz w:val="32"/>
          <w:szCs w:val="32"/>
        </w:rPr>
        <w:t>100%</w:t>
      </w:r>
      <w:r>
        <w:rPr>
          <w:rStyle w:val="15"/>
          <w:rFonts w:hint="eastAsia" w:ascii="仿宋" w:hAnsi="仿宋" w:eastAsia="仿宋"/>
          <w:bCs/>
          <w:sz w:val="32"/>
          <w:szCs w:val="32"/>
        </w:rPr>
        <w:t>。其中：</w:t>
      </w:r>
      <w:bookmarkEnd w:id="46"/>
      <w:bookmarkEnd w:id="47"/>
      <w:bookmarkEnd w:id="48"/>
      <w:bookmarkEnd w:id="49"/>
      <w:bookmarkEnd w:id="50"/>
    </w:p>
    <w:p>
      <w:pPr>
        <w:spacing w:line="600" w:lineRule="exact"/>
        <w:ind w:firstLine="643" w:firstLineChars="200"/>
        <w:rPr>
          <w:rFonts w:ascii="仿宋" w:hAnsi="仿宋" w:eastAsia="仿宋"/>
          <w:b/>
          <w:sz w:val="32"/>
          <w:szCs w:val="32"/>
        </w:rPr>
      </w:pPr>
      <w:r>
        <w:rPr>
          <w:rStyle w:val="15"/>
          <w:rFonts w:hint="eastAsia" w:ascii="仿宋" w:hAnsi="仿宋" w:eastAsia="仿宋"/>
          <w:bCs/>
          <w:sz w:val="32"/>
          <w:szCs w:val="32"/>
        </w:rPr>
        <w:t>1</w:t>
      </w:r>
      <w:r>
        <w:rPr>
          <w:rStyle w:val="15"/>
          <w:rFonts w:ascii="仿宋" w:hAnsi="仿宋" w:eastAsia="仿宋"/>
          <w:bCs/>
          <w:sz w:val="32"/>
          <w:szCs w:val="32"/>
        </w:rPr>
        <w:t>.</w:t>
      </w:r>
      <w:r>
        <w:rPr>
          <w:rStyle w:val="15"/>
          <w:rFonts w:hint="eastAsia" w:ascii="仿宋" w:hAnsi="仿宋" w:eastAsia="仿宋"/>
          <w:bCs/>
          <w:sz w:val="32"/>
          <w:szCs w:val="32"/>
        </w:rPr>
        <w:t>社会保障和就业（类）人力资源和社会保障管理事务（款）劳动人事争议调解仲裁（项）</w:t>
      </w:r>
      <w:r>
        <w:rPr>
          <w:rStyle w:val="15"/>
          <w:rFonts w:ascii="仿宋" w:hAnsi="仿宋" w:eastAsia="仿宋"/>
          <w:bCs/>
          <w:sz w:val="32"/>
          <w:szCs w:val="32"/>
        </w:rPr>
        <w:t>:</w:t>
      </w:r>
      <w:r>
        <w:rPr>
          <w:rStyle w:val="15"/>
          <w:rFonts w:hint="eastAsia" w:ascii="仿宋" w:hAnsi="仿宋" w:eastAsia="仿宋"/>
          <w:b w:val="0"/>
          <w:bCs/>
          <w:sz w:val="32"/>
          <w:szCs w:val="32"/>
        </w:rPr>
        <w:t>支出决算为92.74万元，完成预算</w:t>
      </w:r>
      <w:r>
        <w:rPr>
          <w:rStyle w:val="15"/>
          <w:rFonts w:ascii="仿宋" w:hAnsi="仿宋" w:eastAsia="仿宋"/>
          <w:b w:val="0"/>
          <w:bCs/>
          <w:sz w:val="32"/>
          <w:szCs w:val="32"/>
        </w:rPr>
        <w:t>100%</w:t>
      </w:r>
      <w:r>
        <w:rPr>
          <w:rStyle w:val="15"/>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5"/>
          <w:rFonts w:hint="eastAsia" w:ascii="仿宋" w:hAnsi="仿宋" w:eastAsia="仿宋"/>
          <w:bCs/>
          <w:sz w:val="32"/>
          <w:szCs w:val="32"/>
        </w:rPr>
        <w:t>2</w:t>
      </w:r>
      <w:r>
        <w:rPr>
          <w:rStyle w:val="15"/>
          <w:rFonts w:ascii="仿宋" w:hAnsi="仿宋" w:eastAsia="仿宋"/>
          <w:bCs/>
          <w:sz w:val="32"/>
          <w:szCs w:val="32"/>
        </w:rPr>
        <w:t>.</w:t>
      </w:r>
      <w:r>
        <w:rPr>
          <w:rStyle w:val="15"/>
          <w:rFonts w:hint="eastAsia" w:ascii="仿宋" w:hAnsi="仿宋" w:eastAsia="仿宋"/>
          <w:bCs/>
          <w:sz w:val="32"/>
          <w:szCs w:val="32"/>
        </w:rPr>
        <w:t>社会保障和就业（类）行政事业单位养老支出（款）事业单位离退休（项）</w:t>
      </w:r>
      <w:r>
        <w:rPr>
          <w:rStyle w:val="15"/>
          <w:rFonts w:ascii="仿宋" w:hAnsi="仿宋" w:eastAsia="仿宋"/>
          <w:bCs/>
          <w:sz w:val="32"/>
          <w:szCs w:val="32"/>
        </w:rPr>
        <w:t>:</w:t>
      </w:r>
      <w:r>
        <w:rPr>
          <w:rStyle w:val="15"/>
          <w:rFonts w:hint="eastAsia" w:ascii="仿宋" w:hAnsi="仿宋" w:eastAsia="仿宋"/>
          <w:b w:val="0"/>
          <w:bCs/>
          <w:sz w:val="32"/>
          <w:szCs w:val="32"/>
        </w:rPr>
        <w:t>支出决算为0.54万元，完成预算</w:t>
      </w:r>
      <w:r>
        <w:rPr>
          <w:rStyle w:val="15"/>
          <w:rFonts w:ascii="仿宋" w:hAnsi="仿宋" w:eastAsia="仿宋"/>
          <w:b w:val="0"/>
          <w:bCs/>
          <w:sz w:val="32"/>
          <w:szCs w:val="32"/>
        </w:rPr>
        <w:t>100%</w:t>
      </w:r>
      <w:r>
        <w:rPr>
          <w:rStyle w:val="15"/>
          <w:rFonts w:hint="eastAsia" w:ascii="仿宋" w:hAnsi="仿宋" w:eastAsia="仿宋"/>
          <w:b w:val="0"/>
          <w:bCs/>
          <w:sz w:val="32"/>
          <w:szCs w:val="32"/>
        </w:rPr>
        <w:t>，决算数等于预算数。</w:t>
      </w:r>
    </w:p>
    <w:p>
      <w:pPr>
        <w:spacing w:line="600" w:lineRule="exact"/>
        <w:ind w:firstLine="643" w:firstLineChars="200"/>
        <w:rPr>
          <w:rStyle w:val="15"/>
          <w:rFonts w:ascii="仿宋" w:hAnsi="仿宋" w:eastAsia="仿宋"/>
          <w:b w:val="0"/>
          <w:bCs/>
          <w:sz w:val="32"/>
          <w:szCs w:val="32"/>
        </w:rPr>
      </w:pPr>
      <w:r>
        <w:rPr>
          <w:rStyle w:val="15"/>
          <w:rFonts w:hint="eastAsia" w:ascii="仿宋" w:hAnsi="仿宋" w:eastAsia="仿宋"/>
          <w:bCs/>
          <w:sz w:val="32"/>
          <w:szCs w:val="32"/>
        </w:rPr>
        <w:t>3</w:t>
      </w:r>
      <w:r>
        <w:rPr>
          <w:rStyle w:val="15"/>
          <w:rFonts w:ascii="仿宋" w:hAnsi="仿宋" w:eastAsia="仿宋"/>
          <w:bCs/>
          <w:sz w:val="32"/>
          <w:szCs w:val="32"/>
        </w:rPr>
        <w:t>.</w:t>
      </w:r>
      <w:r>
        <w:rPr>
          <w:rStyle w:val="15"/>
          <w:rFonts w:hint="eastAsia" w:ascii="仿宋" w:hAnsi="仿宋" w:eastAsia="仿宋"/>
          <w:bCs/>
          <w:sz w:val="32"/>
          <w:szCs w:val="32"/>
        </w:rPr>
        <w:t>社会保障和就业（类）行政事业单位养老支出（款）机关事业单位基本养老保险缴费支出（项）</w:t>
      </w:r>
      <w:r>
        <w:rPr>
          <w:rStyle w:val="15"/>
          <w:rFonts w:ascii="仿宋" w:hAnsi="仿宋" w:eastAsia="仿宋"/>
          <w:bCs/>
          <w:sz w:val="32"/>
          <w:szCs w:val="32"/>
        </w:rPr>
        <w:t>:</w:t>
      </w:r>
      <w:r>
        <w:rPr>
          <w:rStyle w:val="15"/>
          <w:rFonts w:hint="eastAsia" w:ascii="仿宋" w:hAnsi="仿宋" w:eastAsia="仿宋"/>
          <w:b w:val="0"/>
          <w:bCs/>
          <w:sz w:val="32"/>
          <w:szCs w:val="32"/>
        </w:rPr>
        <w:t>支出决算为5.02万元，完成预算</w:t>
      </w:r>
      <w:r>
        <w:rPr>
          <w:rStyle w:val="15"/>
          <w:rFonts w:ascii="仿宋" w:hAnsi="仿宋" w:eastAsia="仿宋"/>
          <w:b w:val="0"/>
          <w:bCs/>
          <w:sz w:val="32"/>
          <w:szCs w:val="32"/>
        </w:rPr>
        <w:t>100%</w:t>
      </w:r>
      <w:r>
        <w:rPr>
          <w:rStyle w:val="15"/>
          <w:rFonts w:hint="eastAsia" w:ascii="仿宋" w:hAnsi="仿宋" w:eastAsia="仿宋"/>
          <w:b w:val="0"/>
          <w:bCs/>
          <w:sz w:val="32"/>
          <w:szCs w:val="32"/>
        </w:rPr>
        <w:t>，决算数等于预算数。</w:t>
      </w:r>
    </w:p>
    <w:p>
      <w:pPr>
        <w:spacing w:line="600" w:lineRule="exact"/>
        <w:ind w:firstLine="643" w:firstLineChars="200"/>
        <w:rPr>
          <w:rFonts w:eastAsia="仿宋"/>
        </w:rPr>
      </w:pPr>
      <w:r>
        <w:rPr>
          <w:rStyle w:val="15"/>
          <w:rFonts w:hint="eastAsia" w:ascii="仿宋" w:hAnsi="仿宋" w:eastAsia="仿宋"/>
          <w:bCs/>
          <w:sz w:val="32"/>
          <w:szCs w:val="32"/>
        </w:rPr>
        <w:t>4</w:t>
      </w:r>
      <w:r>
        <w:rPr>
          <w:rStyle w:val="15"/>
          <w:rFonts w:ascii="仿宋" w:hAnsi="仿宋" w:eastAsia="仿宋"/>
          <w:bCs/>
          <w:sz w:val="32"/>
          <w:szCs w:val="32"/>
        </w:rPr>
        <w:t>.</w:t>
      </w:r>
      <w:r>
        <w:rPr>
          <w:rStyle w:val="15"/>
          <w:rFonts w:hint="eastAsia" w:ascii="仿宋" w:hAnsi="仿宋" w:eastAsia="仿宋"/>
          <w:bCs/>
          <w:sz w:val="32"/>
          <w:szCs w:val="32"/>
        </w:rPr>
        <w:t>住房保障支出（类）住房改革支出（款）住房公积金（项）</w:t>
      </w:r>
      <w:r>
        <w:rPr>
          <w:rStyle w:val="15"/>
          <w:rFonts w:ascii="仿宋" w:hAnsi="仿宋" w:eastAsia="仿宋"/>
          <w:bCs/>
          <w:sz w:val="32"/>
          <w:szCs w:val="32"/>
        </w:rPr>
        <w:t>:</w:t>
      </w:r>
      <w:r>
        <w:rPr>
          <w:rStyle w:val="15"/>
          <w:rFonts w:hint="eastAsia" w:ascii="仿宋" w:hAnsi="仿宋" w:eastAsia="仿宋"/>
          <w:b w:val="0"/>
          <w:bCs/>
          <w:sz w:val="32"/>
          <w:szCs w:val="32"/>
        </w:rPr>
        <w:t>支出决算为5.08万元，完成预算</w:t>
      </w:r>
      <w:r>
        <w:rPr>
          <w:rStyle w:val="15"/>
          <w:rFonts w:ascii="仿宋" w:hAnsi="仿宋" w:eastAsia="仿宋"/>
          <w:b w:val="0"/>
          <w:bCs/>
          <w:sz w:val="32"/>
          <w:szCs w:val="32"/>
        </w:rPr>
        <w:t>100%</w:t>
      </w:r>
      <w:r>
        <w:rPr>
          <w:rStyle w:val="15"/>
          <w:rFonts w:hint="eastAsia" w:ascii="仿宋" w:hAnsi="仿宋" w:eastAsia="仿宋"/>
          <w:b w:val="0"/>
          <w:bCs/>
          <w:sz w:val="32"/>
          <w:szCs w:val="32"/>
        </w:rPr>
        <w:t>，决算数等于预算数。</w:t>
      </w:r>
    </w:p>
    <w:p>
      <w:pPr>
        <w:tabs>
          <w:tab w:val="right" w:pos="8306"/>
        </w:tabs>
        <w:spacing w:line="600" w:lineRule="exact"/>
        <w:ind w:firstLine="640"/>
        <w:outlineLvl w:val="1"/>
        <w:rPr>
          <w:rStyle w:val="26"/>
        </w:rPr>
      </w:pPr>
      <w:bookmarkStart w:id="51" w:name="_Toc15396608"/>
      <w:bookmarkStart w:id="52" w:name="_Toc113564668"/>
      <w:bookmarkStart w:id="53"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51"/>
      <w:bookmarkEnd w:id="52"/>
      <w:bookmarkEnd w:id="53"/>
      <w:r>
        <w:rPr>
          <w:rStyle w:val="26"/>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ascii="仿宋" w:hAnsi="仿宋" w:eastAsia="仿宋"/>
          <w:sz w:val="32"/>
          <w:szCs w:val="32"/>
        </w:rPr>
        <w:t>83.45</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sz w:val="32"/>
          <w:szCs w:val="32"/>
        </w:rPr>
        <w:t>67.</w:t>
      </w:r>
      <w:r>
        <w:rPr>
          <w:rFonts w:hint="eastAsia" w:ascii="仿宋" w:hAnsi="仿宋" w:eastAsia="仿宋"/>
          <w:sz w:val="32"/>
          <w:szCs w:val="32"/>
        </w:rPr>
        <w:t>83万元，主要包括：基本工资、津贴补贴、奖金、绩效工资、机关事业单位基本养老保险缴费、职业年金缴费、其他社会保障缴费、其他工资福利支出、退休费、医疗费补助、住房公积金、其他对个人和家庭的补助支出等。</w:t>
      </w:r>
    </w:p>
    <w:p>
      <w:pPr>
        <w:spacing w:line="600" w:lineRule="exact"/>
        <w:ind w:firstLine="645"/>
        <w:rPr>
          <w:rFonts w:ascii="仿宋" w:hAnsi="仿宋" w:eastAsia="仿宋"/>
          <w:sz w:val="32"/>
          <w:szCs w:val="32"/>
        </w:rPr>
      </w:pPr>
      <w:r>
        <w:rPr>
          <w:rFonts w:hint="eastAsia" w:ascii="仿宋" w:hAnsi="仿宋" w:eastAsia="仿宋"/>
          <w:sz w:val="32"/>
          <w:szCs w:val="32"/>
        </w:rPr>
        <w:t>公用经费</w:t>
      </w:r>
      <w:r>
        <w:rPr>
          <w:rFonts w:ascii="仿宋" w:hAnsi="仿宋" w:eastAsia="仿宋"/>
          <w:sz w:val="32"/>
          <w:szCs w:val="32"/>
        </w:rPr>
        <w:t>15.62</w:t>
      </w:r>
      <w:r>
        <w:rPr>
          <w:rFonts w:hint="eastAsia" w:ascii="仿宋" w:hAnsi="仿宋" w:eastAsia="仿宋"/>
          <w:sz w:val="32"/>
          <w:szCs w:val="32"/>
        </w:rPr>
        <w:t>万元，主要包括：办公费、水费、电费、邮电费、差旅费、公务接待费、劳务费、工会经费、福利费、公务用车运行维护费、其他商品和服务支出等。</w:t>
      </w:r>
    </w:p>
    <w:p>
      <w:pPr>
        <w:spacing w:line="600" w:lineRule="exact"/>
        <w:ind w:firstLine="640"/>
        <w:outlineLvl w:val="1"/>
        <w:rPr>
          <w:rStyle w:val="26"/>
          <w:rFonts w:ascii="黑体" w:hAnsi="黑体" w:eastAsia="黑体"/>
          <w:b w:val="0"/>
        </w:rPr>
      </w:pPr>
      <w:bookmarkStart w:id="54" w:name="_Toc15377215"/>
      <w:bookmarkStart w:id="55" w:name="_Toc113564669"/>
      <w:bookmarkStart w:id="56" w:name="_Toc15396609"/>
      <w:r>
        <w:rPr>
          <w:rFonts w:hint="eastAsia" w:ascii="黑体" w:eastAsia="黑体"/>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54"/>
      <w:bookmarkEnd w:id="55"/>
      <w:bookmarkEnd w:id="56"/>
    </w:p>
    <w:p>
      <w:pPr>
        <w:spacing w:line="600" w:lineRule="exact"/>
        <w:ind w:firstLine="640"/>
        <w:outlineLvl w:val="2"/>
        <w:rPr>
          <w:rFonts w:ascii="仿宋" w:hAnsi="仿宋" w:eastAsia="仿宋"/>
          <w:b/>
          <w:sz w:val="32"/>
          <w:szCs w:val="32"/>
        </w:rPr>
      </w:pPr>
      <w:bookmarkStart w:id="57" w:name="_Toc15377216"/>
      <w:r>
        <w:rPr>
          <w:rFonts w:hint="eastAsia" w:ascii="仿宋" w:hAnsi="仿宋" w:eastAsia="仿宋"/>
          <w:b/>
          <w:sz w:val="32"/>
          <w:szCs w:val="32"/>
        </w:rPr>
        <w:t>（一）“三公”经费财政拨款支出决算总体情况说明</w:t>
      </w:r>
      <w:bookmarkEnd w:id="57"/>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21年“三公”经费财政拨款支出决算为1.21万元，完成预算100</w:t>
      </w:r>
      <w:r>
        <w:rPr>
          <w:rFonts w:ascii="仿宋" w:hAnsi="仿宋" w:eastAsia="仿宋"/>
          <w:sz w:val="32"/>
          <w:szCs w:val="32"/>
        </w:rPr>
        <w:t>%</w:t>
      </w:r>
      <w:r>
        <w:rPr>
          <w:rFonts w:hint="eastAsia" w:ascii="仿宋" w:hAnsi="仿宋" w:eastAsia="仿宋"/>
          <w:sz w:val="32"/>
          <w:szCs w:val="32"/>
        </w:rPr>
        <w:t>，决算数等于预算数。</w:t>
      </w:r>
    </w:p>
    <w:p>
      <w:pPr>
        <w:spacing w:line="600" w:lineRule="exact"/>
        <w:ind w:firstLine="640"/>
        <w:outlineLvl w:val="2"/>
        <w:rPr>
          <w:rFonts w:ascii="仿宋" w:hAnsi="仿宋" w:eastAsia="仿宋"/>
          <w:b/>
          <w:sz w:val="32"/>
          <w:szCs w:val="32"/>
        </w:rPr>
      </w:pPr>
      <w:bookmarkStart w:id="58" w:name="_Toc15377217"/>
      <w:r>
        <w:rPr>
          <w:rFonts w:hint="eastAsia" w:ascii="仿宋" w:hAnsi="仿宋" w:eastAsia="仿宋"/>
          <w:b/>
          <w:sz w:val="32"/>
          <w:szCs w:val="32"/>
        </w:rPr>
        <w:t>（二）“三公”经费财政拨款支出决算具体情况说明</w:t>
      </w:r>
      <w:bookmarkEnd w:id="5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；公务用车购置及运行维护费支出决算1.11万元，占91.74</w:t>
      </w:r>
      <w:r>
        <w:rPr>
          <w:rFonts w:ascii="仿宋" w:hAnsi="仿宋" w:eastAsia="仿宋"/>
          <w:sz w:val="32"/>
          <w:szCs w:val="32"/>
        </w:rPr>
        <w:t>%</w:t>
      </w:r>
      <w:r>
        <w:rPr>
          <w:rFonts w:hint="eastAsia" w:ascii="仿宋" w:hAnsi="仿宋" w:eastAsia="仿宋"/>
          <w:sz w:val="32"/>
          <w:szCs w:val="32"/>
        </w:rPr>
        <w:t>；公务接待费支出决算0.10万元，占8.26</w:t>
      </w:r>
      <w:r>
        <w:rPr>
          <w:rFonts w:ascii="仿宋" w:hAnsi="仿宋" w:eastAsia="仿宋"/>
          <w:sz w:val="32"/>
          <w:szCs w:val="32"/>
        </w:rPr>
        <w:t>%</w:t>
      </w:r>
      <w:r>
        <w:rPr>
          <w:rFonts w:hint="eastAsia" w:ascii="仿宋" w:hAnsi="仿宋" w:eastAsia="仿宋"/>
          <w:sz w:val="32"/>
          <w:szCs w:val="32"/>
        </w:rPr>
        <w:t>。具体情况如下：</w:t>
      </w:r>
    </w:p>
    <w:p>
      <w:pPr>
        <w:spacing w:line="600" w:lineRule="exact"/>
        <w:rPr>
          <w:rFonts w:ascii="仿宋" w:hAnsi="仿宋" w:eastAsia="仿宋"/>
          <w:sz w:val="32"/>
          <w:szCs w:val="32"/>
        </w:rPr>
      </w:pPr>
    </w:p>
    <w:p>
      <w:pPr>
        <w:spacing w:line="600" w:lineRule="exact"/>
        <w:ind w:firstLine="640"/>
        <w:rPr>
          <w:rFonts w:ascii="仿宋" w:hAnsi="仿宋" w:eastAsia="仿宋"/>
          <w:sz w:val="32"/>
          <w:szCs w:val="32"/>
        </w:rPr>
      </w:pPr>
      <w:r>
        <w:rPr>
          <w:rFonts w:hint="eastAsia" w:ascii="仿宋" w:hAnsi="仿宋" w:eastAsia="仿宋"/>
          <w:sz w:val="32"/>
          <w:szCs w:val="32"/>
        </w:rPr>
        <w:drawing>
          <wp:anchor distT="0" distB="0" distL="114300" distR="114300" simplePos="0" relativeHeight="251661312" behindDoc="1" locked="0" layoutInCell="1" allowOverlap="1">
            <wp:simplePos x="0" y="0"/>
            <wp:positionH relativeFrom="column">
              <wp:posOffset>396875</wp:posOffset>
            </wp:positionH>
            <wp:positionV relativeFrom="paragraph">
              <wp:posOffset>95250</wp:posOffset>
            </wp:positionV>
            <wp:extent cx="4584065" cy="2755265"/>
            <wp:effectExtent l="0" t="0" r="6985" b="6985"/>
            <wp:wrapTight wrapText="bothSides">
              <wp:wrapPolygon>
                <wp:start x="0" y="0"/>
                <wp:lineTo x="0" y="21505"/>
                <wp:lineTo x="21543" y="21505"/>
                <wp:lineTo x="21543" y="0"/>
                <wp:lineTo x="0" y="0"/>
              </wp:wrapPolygon>
            </wp:wrapTight>
            <wp:docPr id="1" name="图片 1" descr="图片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8"/>
                    <pic:cNvPicPr>
                      <a:picLocks noChangeAspect="1"/>
                    </pic:cNvPicPr>
                  </pic:nvPicPr>
                  <pic:blipFill>
                    <a:blip r:embed="rId12"/>
                    <a:stretch>
                      <a:fillRect/>
                    </a:stretch>
                  </pic:blipFill>
                  <pic:spPr>
                    <a:xfrm>
                      <a:off x="0" y="0"/>
                      <a:ext cx="4584065" cy="2755265"/>
                    </a:xfrm>
                    <a:prstGeom prst="rect">
                      <a:avLst/>
                    </a:prstGeom>
                  </pic:spPr>
                </pic:pic>
              </a:graphicData>
            </a:graphic>
          </wp:anchor>
        </w:drawing>
      </w: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960" w:firstLineChars="300"/>
        <w:rPr>
          <w:rFonts w:ascii="仿宋" w:hAnsi="仿宋" w:eastAsia="仿宋"/>
          <w:sz w:val="32"/>
          <w:szCs w:val="32"/>
        </w:rPr>
      </w:pPr>
      <w:r>
        <w:rPr>
          <w:rFonts w:hint="eastAsia" w:ascii="仿宋" w:hAnsi="仿宋" w:eastAsia="仿宋"/>
          <w:sz w:val="32"/>
          <w:szCs w:val="32"/>
        </w:rPr>
        <w:t>（图7：“三公”经费财政拨款支出结构）</w:t>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5"/>
          <w:rFonts w:hint="eastAsia" w:ascii="仿宋" w:hAnsi="仿宋" w:eastAsia="仿宋"/>
          <w:b w:val="0"/>
          <w:bCs/>
          <w:sz w:val="32"/>
          <w:szCs w:val="32"/>
        </w:rPr>
        <w:t>完成预算0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全年安排因公出国（境）团组0次，出国（境）0人。因公出国（境）支出决算与</w:t>
      </w:r>
      <w:r>
        <w:rPr>
          <w:rFonts w:ascii="仿宋_GB2312" w:eastAsia="仿宋_GB2312"/>
          <w:sz w:val="32"/>
          <w:szCs w:val="32"/>
        </w:rPr>
        <w:t>20</w:t>
      </w:r>
      <w:r>
        <w:rPr>
          <w:rFonts w:hint="eastAsia" w:ascii="仿宋_GB2312" w:eastAsia="仿宋_GB2312"/>
          <w:sz w:val="32"/>
          <w:szCs w:val="32"/>
        </w:rPr>
        <w:t>20年持平。主要原因是无因公出国（境）费用。</w:t>
      </w:r>
    </w:p>
    <w:p>
      <w:pPr>
        <w:snapToGrid w:val="0"/>
        <w:spacing w:line="520" w:lineRule="exact"/>
        <w:ind w:firstLine="643" w:firstLineChars="20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1.11万元,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20年减少</w:t>
      </w:r>
      <w:r>
        <w:rPr>
          <w:rFonts w:hint="eastAsia" w:ascii="仿宋_GB2312" w:hAnsi="仿宋" w:eastAsia="仿宋_GB2312"/>
          <w:sz w:val="32"/>
          <w:szCs w:val="32"/>
        </w:rPr>
        <w:t>0.51</w:t>
      </w:r>
      <w:r>
        <w:rPr>
          <w:rFonts w:hint="eastAsia" w:ascii="仿宋_GB2312" w:eastAsia="仿宋_GB2312"/>
          <w:sz w:val="32"/>
          <w:szCs w:val="32"/>
        </w:rPr>
        <w:t>万元，</w:t>
      </w:r>
      <w:r>
        <w:rPr>
          <w:rFonts w:hint="eastAsia" w:ascii="仿宋_GB2312" w:hAnsi="仿宋" w:eastAsia="仿宋_GB2312"/>
          <w:sz w:val="32"/>
          <w:szCs w:val="32"/>
        </w:rPr>
        <w:t>下降31.48%</w:t>
      </w:r>
      <w:r>
        <w:rPr>
          <w:rFonts w:hint="eastAsia" w:ascii="仿宋_GB2312" w:eastAsia="仿宋_GB2312"/>
          <w:sz w:val="32"/>
          <w:szCs w:val="32"/>
        </w:rPr>
        <w:t>。</w:t>
      </w:r>
      <w:r>
        <w:rPr>
          <w:rFonts w:hint="eastAsia" w:ascii="仿宋_GB2312" w:hAnsi="仿宋" w:eastAsia="仿宋_GB2312"/>
          <w:sz w:val="32"/>
          <w:szCs w:val="32"/>
        </w:rPr>
        <w:t>因财政收缩，加之严控各项支出，2021年公车运行维护费的发票还未支付兑现。且疫情期间控制出行</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月底，单位共有公务用车1辆，其中：轿车1辆、越野车0辆、载客汽车0辆。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1.11万元。主要用于</w:t>
      </w:r>
      <w:r>
        <w:rPr>
          <w:rFonts w:hint="eastAsia" w:ascii="仿宋_GB2312" w:eastAsia="仿宋_GB2312"/>
          <w:color w:val="000000"/>
          <w:sz w:val="32"/>
          <w:szCs w:val="32"/>
        </w:rPr>
        <w:t>劳动人事争议仲裁案件处理等所需的公务用车燃料费、维修费、过路过桥费、保险费等支出。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0.10万元，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20年减少0.01万元，下降9.09</w:t>
      </w:r>
      <w:r>
        <w:rPr>
          <w:rFonts w:ascii="仿宋_GB2312" w:eastAsia="仿宋_GB2312"/>
          <w:sz w:val="32"/>
          <w:szCs w:val="32"/>
        </w:rPr>
        <w:t>%</w:t>
      </w:r>
      <w:r>
        <w:rPr>
          <w:rFonts w:hint="eastAsia" w:ascii="仿宋_GB2312" w:eastAsia="仿宋_GB2312"/>
          <w:sz w:val="32"/>
          <w:szCs w:val="32"/>
        </w:rPr>
        <w:t>。主要原因是根据实际接待人数及情况支出。其中：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0.10</w:t>
      </w:r>
      <w:r>
        <w:rPr>
          <w:rFonts w:hint="eastAsia" w:ascii="仿宋_GB2312" w:eastAsia="仿宋_GB2312"/>
          <w:sz w:val="32"/>
          <w:szCs w:val="32"/>
        </w:rPr>
        <w:t>万元。国内公务接待1批次，4人次（不包括陪同人员），共计支出0.10万元。</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bookmarkStart w:id="59" w:name="_Toc15377218"/>
      <w:bookmarkStart w:id="60" w:name="_Toc15396610"/>
    </w:p>
    <w:p>
      <w:pPr>
        <w:spacing w:line="600" w:lineRule="exact"/>
        <w:ind w:firstLine="640"/>
        <w:outlineLvl w:val="1"/>
        <w:rPr>
          <w:rStyle w:val="26"/>
          <w:rFonts w:ascii="黑体" w:hAnsi="黑体" w:eastAsia="黑体"/>
        </w:rPr>
      </w:pPr>
      <w:bookmarkStart w:id="61" w:name="_Toc113564670"/>
      <w:r>
        <w:rPr>
          <w:rFonts w:hint="eastAsia" w:ascii="黑体" w:eastAsia="黑体"/>
          <w:sz w:val="32"/>
          <w:szCs w:val="32"/>
        </w:rPr>
        <w:t>八、</w:t>
      </w:r>
      <w:r>
        <w:rPr>
          <w:rStyle w:val="26"/>
          <w:rFonts w:hint="eastAsia" w:ascii="黑体" w:hAnsi="黑体" w:eastAsia="黑体"/>
          <w:b w:val="0"/>
        </w:rPr>
        <w:t>政府性基金预算支出决算情况说明</w:t>
      </w:r>
      <w:bookmarkEnd w:id="59"/>
      <w:bookmarkEnd w:id="60"/>
      <w:bookmarkEnd w:id="6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pPr>
        <w:numPr>
          <w:ilvl w:val="0"/>
          <w:numId w:val="2"/>
        </w:numPr>
        <w:spacing w:line="600" w:lineRule="exact"/>
        <w:ind w:firstLine="640"/>
        <w:outlineLvl w:val="1"/>
        <w:rPr>
          <w:rStyle w:val="26"/>
          <w:rFonts w:ascii="黑体" w:hAnsi="黑体" w:eastAsia="黑体"/>
          <w:b w:val="0"/>
        </w:rPr>
      </w:pPr>
      <w:bookmarkStart w:id="62" w:name="_Toc15377219"/>
      <w:bookmarkStart w:id="63" w:name="_Toc113564671"/>
      <w:bookmarkStart w:id="64" w:name="_Toc15396611"/>
      <w:r>
        <w:rPr>
          <w:rStyle w:val="26"/>
          <w:rFonts w:hint="eastAsia" w:ascii="黑体" w:hAnsi="黑体" w:eastAsia="黑体"/>
          <w:b w:val="0"/>
        </w:rPr>
        <w:t>国有资本经营预算支出决算情况说明</w:t>
      </w:r>
      <w:bookmarkEnd w:id="62"/>
      <w:bookmarkEnd w:id="63"/>
      <w:bookmarkEnd w:id="64"/>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numPr>
          <w:ilvl w:val="0"/>
          <w:numId w:val="2"/>
        </w:numPr>
        <w:spacing w:line="600" w:lineRule="exact"/>
        <w:ind w:firstLine="640"/>
        <w:outlineLvl w:val="1"/>
        <w:rPr>
          <w:rStyle w:val="26"/>
          <w:rFonts w:ascii="黑体" w:hAnsi="黑体" w:eastAsia="黑体"/>
          <w:b w:val="0"/>
        </w:rPr>
      </w:pPr>
      <w:bookmarkStart w:id="65" w:name="_Toc113564672"/>
      <w:bookmarkStart w:id="66" w:name="_Toc15396612"/>
      <w:bookmarkStart w:id="67" w:name="_Toc15377221"/>
      <w:r>
        <w:rPr>
          <w:rStyle w:val="26"/>
          <w:rFonts w:hint="eastAsia" w:ascii="黑体" w:hAnsi="黑体" w:eastAsia="黑体"/>
          <w:b w:val="0"/>
        </w:rPr>
        <w:t>其他重要事项的情况说明</w:t>
      </w:r>
      <w:bookmarkEnd w:id="65"/>
      <w:bookmarkEnd w:id="66"/>
      <w:bookmarkEnd w:id="67"/>
    </w:p>
    <w:p>
      <w:pPr>
        <w:spacing w:line="600" w:lineRule="exact"/>
        <w:ind w:firstLine="643" w:firstLineChars="200"/>
        <w:outlineLvl w:val="2"/>
        <w:rPr>
          <w:rFonts w:ascii="仿宋" w:hAnsi="仿宋" w:eastAsia="仿宋"/>
          <w:sz w:val="32"/>
          <w:szCs w:val="32"/>
        </w:rPr>
      </w:pPr>
      <w:bookmarkStart w:id="68" w:name="_Toc15377222"/>
      <w:r>
        <w:rPr>
          <w:rFonts w:hint="eastAsia" w:ascii="仿宋" w:hAnsi="仿宋" w:eastAsia="仿宋"/>
          <w:b/>
          <w:sz w:val="32"/>
          <w:szCs w:val="32"/>
        </w:rPr>
        <w:t>（一）机关运行经费支出情况</w:t>
      </w:r>
      <w:bookmarkEnd w:id="68"/>
    </w:p>
    <w:p>
      <w:pPr>
        <w:spacing w:line="600" w:lineRule="exact"/>
        <w:ind w:firstLine="640" w:firstLineChars="200"/>
        <w:rPr>
          <w:rFonts w:ascii="仿宋_GB2312" w:eastAsia="仿宋_GB2312"/>
          <w:sz w:val="32"/>
          <w:szCs w:val="32"/>
        </w:rPr>
      </w:pPr>
      <w:bookmarkStart w:id="69" w:name="_Toc15377223"/>
      <w:r>
        <w:rPr>
          <w:rFonts w:ascii="仿宋_GB2312" w:eastAsia="仿宋_GB2312"/>
          <w:sz w:val="32"/>
          <w:szCs w:val="32"/>
        </w:rPr>
        <w:t>20</w:t>
      </w:r>
      <w:r>
        <w:rPr>
          <w:rFonts w:hint="eastAsia" w:ascii="仿宋_GB2312" w:eastAsia="仿宋_GB2312"/>
          <w:sz w:val="32"/>
          <w:szCs w:val="32"/>
        </w:rPr>
        <w:t>21年，机关运行经费支出0万元，与</w:t>
      </w:r>
      <w:r>
        <w:rPr>
          <w:rFonts w:ascii="仿宋_GB2312" w:eastAsia="仿宋_GB2312"/>
          <w:sz w:val="32"/>
          <w:szCs w:val="32"/>
        </w:rPr>
        <w:t>20</w:t>
      </w:r>
      <w:r>
        <w:rPr>
          <w:rFonts w:hint="eastAsia" w:ascii="仿宋_GB2312" w:eastAsia="仿宋_GB2312"/>
          <w:sz w:val="32"/>
          <w:szCs w:val="32"/>
        </w:rPr>
        <w:t>20年决算数持平。主要原因是我院没有机关运行经费。</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（二）政府采购支出情况</w:t>
      </w:r>
      <w:bookmarkEnd w:id="69"/>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21年，攀枝花市劳动人事争议仲裁院政府采购支出总额0万元，其中：政府采购货物支出0万元、政府采购工程支出0万元、政府采购服务支出0万元。授予中小企业合同金额0万元，占政府采购支出总额的0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0" w:name="_Toc15377224"/>
      <w:r>
        <w:rPr>
          <w:rFonts w:hint="eastAsia" w:ascii="仿宋" w:hAnsi="仿宋" w:eastAsia="仿宋"/>
          <w:b/>
          <w:sz w:val="32"/>
          <w:szCs w:val="32"/>
        </w:rPr>
        <w:t>（三）国有资产占有使用情况</w:t>
      </w:r>
      <w:bookmarkEnd w:id="70"/>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日，攀枝花市劳动人事争议仲裁院共有车辆1辆，其中：主要领导干部用车0辆、机要通信用车0辆、应急保障用车0辆、其他用车1辆。其他用车主要是用于仲裁文书送达、公务出行等。单价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劳动人事争议仲裁案件处理、编外聘用人员包干经费2个项目开展了预算事前绩效评估，对2个项目编制了绩效目标，预算执行过程中，选取2个项目开展绩效监控，年终执行完毕后，对2个项目开展了绩效自评，2021年特定目标类部门预算项目绩效目标自评表见附件（第四部分）。</w:t>
      </w:r>
    </w:p>
    <w:p>
      <w:pPr>
        <w:pStyle w:val="2"/>
        <w:spacing w:before="93"/>
        <w:rPr>
          <w:highlight w:val="yellow"/>
        </w:rPr>
      </w:pP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3"/>
        </w:numPr>
        <w:spacing w:line="600" w:lineRule="exact"/>
        <w:ind w:firstLine="660" w:firstLineChars="150"/>
        <w:jc w:val="center"/>
        <w:outlineLvl w:val="0"/>
        <w:rPr>
          <w:rStyle w:val="25"/>
          <w:rFonts w:ascii="黑体" w:hAnsi="黑体" w:eastAsia="黑体"/>
          <w:b w:val="0"/>
        </w:rPr>
      </w:pPr>
      <w:bookmarkStart w:id="71" w:name="_Toc113564673"/>
      <w:bookmarkStart w:id="72" w:name="_Toc15396613"/>
      <w:bookmarkStart w:id="73" w:name="_Toc15377225"/>
      <w:r>
        <w:rPr>
          <w:rFonts w:hint="eastAsia" w:ascii="黑体" w:hAnsi="黑体" w:eastAsia="黑体"/>
          <w:sz w:val="44"/>
          <w:szCs w:val="44"/>
        </w:rPr>
        <w:t>名</w:t>
      </w:r>
      <w:r>
        <w:rPr>
          <w:rStyle w:val="25"/>
          <w:rFonts w:hint="eastAsia" w:ascii="黑体" w:hAnsi="黑体" w:eastAsia="黑体"/>
          <w:b w:val="0"/>
        </w:rPr>
        <w:t>词解释</w:t>
      </w:r>
      <w:bookmarkEnd w:id="71"/>
      <w:bookmarkEnd w:id="72"/>
      <w:bookmarkEnd w:id="73"/>
    </w:p>
    <w:p>
      <w:pPr>
        <w:spacing w:line="600" w:lineRule="exact"/>
        <w:jc w:val="left"/>
        <w:rPr>
          <w:rFonts w:ascii="宋体"/>
          <w:b/>
          <w:sz w:val="44"/>
          <w:szCs w:val="44"/>
        </w:rPr>
      </w:pPr>
    </w:p>
    <w:p>
      <w:pPr>
        <w:autoSpaceDE w:val="0"/>
        <w:autoSpaceDN w:val="0"/>
        <w:adjustRightInd w:val="0"/>
        <w:spacing w:line="560" w:lineRule="exact"/>
        <w:ind w:firstLine="640" w:firstLineChars="200"/>
        <w:jc w:val="left"/>
        <w:rPr>
          <w:rFonts w:ascii="仿宋_GB2312" w:hAnsi="Calibri" w:eastAsia="仿宋_GB2312" w:cs="仿宋"/>
          <w:color w:val="000000"/>
          <w:kern w:val="0"/>
          <w:sz w:val="32"/>
          <w:szCs w:val="32"/>
        </w:rPr>
      </w:pPr>
      <w:bookmarkStart w:id="74" w:name="_Toc15377226"/>
      <w:r>
        <w:rPr>
          <w:rFonts w:ascii="仿宋_GB2312" w:hAnsi="Calibri" w:eastAsia="仿宋_GB2312" w:cs="仿宋"/>
          <w:color w:val="000000"/>
          <w:kern w:val="0"/>
          <w:sz w:val="32"/>
          <w:szCs w:val="32"/>
        </w:rPr>
        <w:t>1.</w:t>
      </w:r>
      <w:r>
        <w:rPr>
          <w:rFonts w:hint="eastAsia" w:ascii="仿宋_GB2312" w:hAnsi="Calibri" w:eastAsia="仿宋_GB2312" w:cs="仿宋"/>
          <w:color w:val="000000"/>
          <w:kern w:val="0"/>
          <w:sz w:val="32"/>
          <w:szCs w:val="32"/>
        </w:rPr>
        <w:t>财政拨款收入：指单位从同级财政部门取得的财政预算资金。</w:t>
      </w:r>
    </w:p>
    <w:p>
      <w:pPr>
        <w:autoSpaceDE w:val="0"/>
        <w:autoSpaceDN w:val="0"/>
        <w:adjustRightInd w:val="0"/>
        <w:spacing w:line="560" w:lineRule="exact"/>
        <w:ind w:firstLine="640" w:firstLineChars="200"/>
        <w:jc w:val="left"/>
        <w:rPr>
          <w:rFonts w:ascii="仿宋_GB2312" w:hAnsi="Calibri" w:eastAsia="仿宋_GB2312" w:cs="仿宋"/>
          <w:color w:val="000000"/>
          <w:kern w:val="0"/>
          <w:sz w:val="32"/>
          <w:szCs w:val="32"/>
        </w:rPr>
      </w:pPr>
      <w:r>
        <w:rPr>
          <w:rFonts w:hint="eastAsia" w:ascii="仿宋_GB2312" w:hAnsi="Calibri" w:eastAsia="仿宋_GB2312" w:cs="仿宋"/>
          <w:color w:val="000000"/>
          <w:kern w:val="0"/>
          <w:sz w:val="32"/>
          <w:szCs w:val="32"/>
        </w:rPr>
        <w:t>2</w:t>
      </w:r>
      <w:r>
        <w:rPr>
          <w:rFonts w:ascii="仿宋_GB2312" w:hAnsi="Calibri" w:eastAsia="仿宋_GB2312" w:cs="仿宋"/>
          <w:color w:val="000000"/>
          <w:kern w:val="0"/>
          <w:sz w:val="32"/>
          <w:szCs w:val="32"/>
        </w:rPr>
        <w:t>.</w:t>
      </w:r>
      <w:r>
        <w:rPr>
          <w:rFonts w:hint="eastAsia" w:ascii="仿宋_GB2312" w:hAnsi="Calibri" w:eastAsia="仿宋_GB2312" w:cs="仿宋"/>
          <w:color w:val="000000"/>
          <w:kern w:val="0"/>
          <w:sz w:val="32"/>
          <w:szCs w:val="32"/>
        </w:rPr>
        <w:t>其他收入：指单位取得的除上述收入以外的各项收入。主要是利息收入。</w:t>
      </w:r>
      <w:r>
        <w:rPr>
          <w:rFonts w:ascii="仿宋_GB2312" w:hAnsi="Calibri" w:eastAsia="仿宋_GB2312" w:cs="仿宋"/>
          <w:color w:val="000000"/>
          <w:kern w:val="0"/>
          <w:sz w:val="32"/>
          <w:szCs w:val="32"/>
        </w:rPr>
        <w:t xml:space="preserve"> </w:t>
      </w:r>
    </w:p>
    <w:p>
      <w:pPr>
        <w:autoSpaceDE w:val="0"/>
        <w:autoSpaceDN w:val="0"/>
        <w:adjustRightInd w:val="0"/>
        <w:spacing w:line="560" w:lineRule="exact"/>
        <w:ind w:firstLine="640" w:firstLineChars="200"/>
        <w:jc w:val="left"/>
        <w:rPr>
          <w:rFonts w:ascii="仿宋_GB2312" w:hAnsi="Calibri" w:eastAsia="仿宋_GB2312" w:cs="仿宋"/>
          <w:color w:val="000000"/>
          <w:kern w:val="0"/>
          <w:sz w:val="32"/>
          <w:szCs w:val="32"/>
        </w:rPr>
      </w:pPr>
      <w:r>
        <w:rPr>
          <w:rFonts w:hint="eastAsia" w:ascii="仿宋_GB2312" w:hAnsi="Calibri" w:eastAsia="仿宋_GB2312" w:cs="仿宋"/>
          <w:color w:val="000000"/>
          <w:kern w:val="0"/>
          <w:sz w:val="32"/>
          <w:szCs w:val="32"/>
        </w:rPr>
        <w:t>3</w:t>
      </w:r>
      <w:r>
        <w:rPr>
          <w:rFonts w:ascii="仿宋_GB2312" w:hAnsi="Calibri" w:eastAsia="仿宋_GB2312" w:cs="仿宋"/>
          <w:color w:val="000000"/>
          <w:kern w:val="0"/>
          <w:sz w:val="32"/>
          <w:szCs w:val="32"/>
        </w:rPr>
        <w:t>.</w:t>
      </w:r>
      <w:r>
        <w:rPr>
          <w:rFonts w:hint="eastAsia" w:ascii="仿宋_GB2312" w:hAnsi="Calibri" w:eastAsia="仿宋_GB2312" w:cs="仿宋"/>
          <w:color w:val="000000"/>
          <w:kern w:val="0"/>
          <w:sz w:val="32"/>
          <w:szCs w:val="32"/>
        </w:rPr>
        <w:t>年初结转和结余：指以前年度尚未完成、结转到本年按有关规定继续使用的资金。</w:t>
      </w:r>
      <w:r>
        <w:rPr>
          <w:rFonts w:ascii="仿宋_GB2312" w:hAnsi="Calibri" w:eastAsia="仿宋_GB2312" w:cs="仿宋"/>
          <w:color w:val="000000"/>
          <w:kern w:val="0"/>
          <w:sz w:val="32"/>
          <w:szCs w:val="32"/>
        </w:rPr>
        <w:t xml:space="preserve"> </w:t>
      </w:r>
    </w:p>
    <w:p>
      <w:pPr>
        <w:autoSpaceDE w:val="0"/>
        <w:autoSpaceDN w:val="0"/>
        <w:adjustRightInd w:val="0"/>
        <w:spacing w:line="560" w:lineRule="exact"/>
        <w:ind w:firstLine="640" w:firstLineChars="200"/>
        <w:jc w:val="left"/>
        <w:rPr>
          <w:rFonts w:ascii="仿宋_GB2312" w:hAnsi="Calibri" w:eastAsia="仿宋_GB2312" w:cs="仿宋"/>
          <w:color w:val="000000"/>
          <w:kern w:val="0"/>
          <w:sz w:val="32"/>
          <w:szCs w:val="32"/>
        </w:rPr>
      </w:pPr>
      <w:r>
        <w:rPr>
          <w:rFonts w:hint="eastAsia" w:ascii="仿宋_GB2312" w:hAnsi="Calibri" w:eastAsia="仿宋_GB2312" w:cs="仿宋"/>
          <w:color w:val="000000"/>
          <w:kern w:val="0"/>
          <w:sz w:val="32"/>
          <w:szCs w:val="32"/>
        </w:rPr>
        <w:t>4、年末结转和结余：指单位按有关规定结转到下年或以后年度继续使用的资金。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5</w:t>
      </w:r>
      <w:r>
        <w:rPr>
          <w:rFonts w:ascii="仿宋_GB2312" w:eastAsia="仿宋_GB2312"/>
          <w:color w:val="000000"/>
          <w:sz w:val="32"/>
          <w:szCs w:val="32"/>
        </w:rPr>
        <w:t>.</w:t>
      </w:r>
      <w:r>
        <w:rPr>
          <w:rFonts w:hint="eastAsia" w:ascii="仿宋_GB2312" w:eastAsia="仿宋_GB2312"/>
          <w:color w:val="000000"/>
          <w:sz w:val="32"/>
          <w:szCs w:val="32"/>
        </w:rPr>
        <w:t>社会保障和就业（类）人力资源和社会保障管理事务（款）劳动人事争议调解仲裁（项）：指反映仲裁机构实体化建设、办案经费，调解仲裁能力建设等支出。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社会保障和就业（类）行政事业单位养老支出（款）机关事业单位基本养老保险缴费支出（项）：指反映行政事业单位按人力资源和社会保障部、财政部规定的基本工资和津贴补贴以及规定比例为职工缴纳的机关事业单位基本养老保险。</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6</w:t>
      </w:r>
      <w:r>
        <w:rPr>
          <w:rFonts w:ascii="仿宋_GB2312" w:eastAsia="仿宋_GB2312"/>
          <w:color w:val="000000"/>
          <w:sz w:val="32"/>
          <w:szCs w:val="32"/>
        </w:rPr>
        <w:t>.</w:t>
      </w:r>
      <w:r>
        <w:rPr>
          <w:rFonts w:hint="eastAsia" w:ascii="仿宋_GB2312" w:eastAsia="仿宋_GB2312"/>
          <w:color w:val="000000"/>
          <w:sz w:val="32"/>
          <w:szCs w:val="32"/>
        </w:rPr>
        <w:t>住房保障（类）住房改革支出（款）住房公积金（项）：指反映行政事业单位按人力资源和社会保障部、财政部规定的基本工资和津贴补贴以及规定比例为职工缴纳的住房公积金。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7</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8</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autoSpaceDE w:val="0"/>
        <w:autoSpaceDN w:val="0"/>
        <w:adjustRightInd w:val="0"/>
        <w:spacing w:line="560" w:lineRule="exact"/>
        <w:ind w:firstLine="640" w:firstLineChars="200"/>
        <w:jc w:val="left"/>
        <w:rPr>
          <w:rFonts w:ascii="仿宋_GB2312" w:hAnsi="Calibri" w:eastAsia="仿宋_GB2312" w:cs="仿宋"/>
          <w:color w:val="000000"/>
          <w:kern w:val="0"/>
          <w:sz w:val="32"/>
          <w:szCs w:val="32"/>
        </w:rPr>
      </w:pPr>
      <w:r>
        <w:rPr>
          <w:rFonts w:hint="eastAsia" w:ascii="仿宋_GB2312" w:hAnsi="Calibri" w:eastAsia="仿宋_GB2312" w:cs="仿宋"/>
          <w:color w:val="000000"/>
          <w:kern w:val="0"/>
          <w:sz w:val="32"/>
          <w:szCs w:val="32"/>
        </w:rPr>
        <w:t>9</w:t>
      </w:r>
      <w:r>
        <w:rPr>
          <w:rFonts w:ascii="仿宋_GB2312" w:hAnsi="Calibri" w:eastAsia="仿宋_GB2312" w:cs="仿宋"/>
          <w:color w:val="000000"/>
          <w:kern w:val="0"/>
          <w:sz w:val="32"/>
          <w:szCs w:val="32"/>
        </w:rPr>
        <w:t>.</w:t>
      </w:r>
      <w:r>
        <w:rPr>
          <w:rFonts w:hint="eastAsia" w:ascii="仿宋_GB2312" w:hAnsi="Calibri" w:eastAsia="仿宋_GB2312" w:cs="仿宋"/>
          <w:color w:val="000000"/>
          <w:kern w:val="0"/>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jc w:val="center"/>
        <w:outlineLvl w:val="0"/>
        <w:rPr>
          <w:rStyle w:val="25"/>
          <w:rFonts w:ascii="黑体" w:hAnsi="黑体" w:eastAsia="黑体"/>
          <w:b w:val="0"/>
        </w:rPr>
      </w:pPr>
      <w:r>
        <w:rPr>
          <w:rFonts w:ascii="宋体"/>
          <w:b/>
          <w:sz w:val="44"/>
          <w:szCs w:val="44"/>
        </w:rPr>
        <w:br w:type="page"/>
      </w:r>
      <w:bookmarkStart w:id="75" w:name="_Toc113564674"/>
      <w:bookmarkStart w:id="76" w:name="_Toc15396614"/>
      <w:r>
        <w:rPr>
          <w:rFonts w:hint="eastAsia" w:ascii="黑体" w:hAnsi="黑体" w:eastAsia="黑体"/>
          <w:sz w:val="44"/>
          <w:szCs w:val="44"/>
        </w:rPr>
        <w:t>第</w:t>
      </w:r>
      <w:r>
        <w:rPr>
          <w:rStyle w:val="25"/>
          <w:rFonts w:hint="eastAsia" w:ascii="黑体" w:hAnsi="黑体" w:eastAsia="黑体"/>
          <w:b w:val="0"/>
        </w:rPr>
        <w:t>四部分 附件</w:t>
      </w:r>
      <w:bookmarkEnd w:id="75"/>
      <w:bookmarkEnd w:id="76"/>
    </w:p>
    <w:p>
      <w:pPr>
        <w:spacing w:line="572" w:lineRule="exact"/>
        <w:jc w:val="left"/>
        <w:outlineLvl w:val="0"/>
        <w:rPr>
          <w:rFonts w:ascii="黑体" w:hAnsi="黑体" w:eastAsia="黑体" w:cs="黑体"/>
          <w:sz w:val="32"/>
          <w:szCs w:val="32"/>
        </w:rPr>
      </w:pPr>
      <w:bookmarkStart w:id="77" w:name="_Toc113564675"/>
      <w:bookmarkStart w:id="78" w:name="_Toc15396618"/>
      <w:r>
        <w:rPr>
          <w:rFonts w:hint="eastAsia" w:ascii="黑体" w:hAnsi="黑体" w:eastAsia="黑体" w:cs="黑体"/>
          <w:sz w:val="32"/>
          <w:szCs w:val="32"/>
        </w:rPr>
        <w:t>附件</w:t>
      </w:r>
      <w:bookmarkEnd w:id="77"/>
    </w:p>
    <w:tbl>
      <w:tblPr>
        <w:tblStyle w:val="13"/>
        <w:tblpPr w:leftFromText="180" w:rightFromText="180" w:vertAnchor="text" w:horzAnchor="page" w:tblpX="1281" w:tblpY="660"/>
        <w:tblOverlap w:val="never"/>
        <w:tblW w:w="9925" w:type="dxa"/>
        <w:tblInd w:w="0" w:type="dxa"/>
        <w:tblLayout w:type="fixed"/>
        <w:tblCellMar>
          <w:top w:w="0" w:type="dxa"/>
          <w:left w:w="108" w:type="dxa"/>
          <w:bottom w:w="0" w:type="dxa"/>
          <w:right w:w="108" w:type="dxa"/>
        </w:tblCellMar>
      </w:tblPr>
      <w:tblGrid>
        <w:gridCol w:w="1976"/>
        <w:gridCol w:w="1142"/>
        <w:gridCol w:w="1635"/>
        <w:gridCol w:w="1189"/>
        <w:gridCol w:w="1224"/>
        <w:gridCol w:w="2523"/>
        <w:gridCol w:w="236"/>
      </w:tblGrid>
      <w:tr>
        <w:tblPrEx>
          <w:tblCellMar>
            <w:top w:w="0" w:type="dxa"/>
            <w:left w:w="108" w:type="dxa"/>
            <w:bottom w:w="0" w:type="dxa"/>
            <w:right w:w="108" w:type="dxa"/>
          </w:tblCellMar>
        </w:tblPrEx>
        <w:trPr>
          <w:trHeight w:val="675" w:hRule="atLeast"/>
        </w:trPr>
        <w:tc>
          <w:tcPr>
            <w:tcW w:w="9689"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r>
              <w:rPr>
                <w:rFonts w:hint="eastAsia" w:ascii="宋体" w:hAnsi="宋体" w:cs="宋体"/>
                <w:b/>
                <w:sz w:val="32"/>
                <w:szCs w:val="32"/>
              </w:rPr>
              <w:t>2021年不限金额特定目标类部门预算项目绩效目标自评</w:t>
            </w:r>
          </w:p>
          <w:p>
            <w:pPr>
              <w:pStyle w:val="2"/>
              <w:spacing w:before="93"/>
              <w:jc w:val="center"/>
            </w:pPr>
            <w:r>
              <w:rPr>
                <w:rFonts w:hint="eastAsia" w:ascii="宋体" w:hAnsi="宋体" w:eastAsia="宋体" w:cs="宋体"/>
                <w:b/>
                <w:kern w:val="2"/>
                <w:sz w:val="32"/>
                <w:szCs w:val="32"/>
              </w:rPr>
              <w:t>（劳动人事争议仲裁案件处理）</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Cs w:val="21"/>
              </w:rPr>
            </w:pPr>
            <w:r>
              <w:rPr>
                <w:rFonts w:hint="eastAsia" w:ascii="宋体" w:hAnsi="宋体" w:cs="宋体"/>
                <w:szCs w:val="21"/>
              </w:rPr>
              <w:t>502001-攀枝花市人力资源和社会保障局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rPr>
              <w:t>实施单位</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szCs w:val="21"/>
              </w:rPr>
              <w:t>攀枝花市劳动人事争议仲裁院</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rPr>
              <w:t>项目预算</w:t>
            </w:r>
            <w:r>
              <w:rPr>
                <w:rFonts w:hint="eastAsia" w:ascii="宋体" w:hAnsi="宋体" w:cs="宋体"/>
                <w:kern w:val="0"/>
                <w:szCs w:val="21"/>
              </w:rPr>
              <w:br w:type="textWrapping"/>
            </w:r>
            <w:r>
              <w:rPr>
                <w:rFonts w:hint="eastAsia" w:ascii="宋体" w:hAnsi="宋体" w:cs="宋体"/>
                <w:kern w:val="0"/>
                <w:szCs w:val="21"/>
              </w:rPr>
              <w:t>执行情况</w:t>
            </w:r>
            <w:r>
              <w:rPr>
                <w:rFonts w:hint="eastAsia" w:ascii="宋体" w:hAnsi="宋体" w:cs="宋体"/>
                <w:kern w:val="0"/>
                <w:szCs w:val="21"/>
              </w:rPr>
              <w:br w:type="textWrapping"/>
            </w:r>
            <w:r>
              <w:rPr>
                <w:rFonts w:hint="eastAsia" w:ascii="宋体" w:hAnsi="宋体" w:cs="宋体"/>
                <w:kern w:val="0"/>
                <w:szCs w:val="21"/>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szCs w:val="21"/>
              </w:rPr>
              <w:t>5.37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rPr>
              <w:t xml:space="preserve"> 执行数：</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Cs w:val="21"/>
              </w:rPr>
            </w:pPr>
            <w:r>
              <w:rPr>
                <w:rFonts w:hint="eastAsia" w:ascii="宋体" w:hAnsi="宋体" w:cs="宋体"/>
                <w:szCs w:val="21"/>
              </w:rPr>
              <w:t>5.37</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Cs w:val="21"/>
              </w:rPr>
            </w:pPr>
            <w:r>
              <w:rPr>
                <w:rFonts w:hint="eastAsia" w:ascii="宋体" w:hAnsi="宋体" w:cs="宋体"/>
                <w:kern w:val="0"/>
                <w:szCs w:val="21"/>
              </w:rPr>
              <w:t>其中：</w:t>
            </w:r>
          </w:p>
          <w:p>
            <w:pPr>
              <w:widowControl/>
              <w:spacing w:line="320" w:lineRule="exact"/>
              <w:jc w:val="left"/>
              <w:textAlignment w:val="center"/>
              <w:rPr>
                <w:rFonts w:ascii="宋体" w:hAnsi="宋体" w:cs="宋体"/>
                <w:szCs w:val="21"/>
              </w:rPr>
            </w:pPr>
            <w:r>
              <w:rPr>
                <w:rFonts w:hint="eastAsia" w:ascii="宋体" w:hAnsi="宋体" w:cs="宋体"/>
                <w:kern w:val="0"/>
                <w:szCs w:val="21"/>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szCs w:val="21"/>
              </w:rPr>
              <w:t>5.37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Cs w:val="21"/>
              </w:rPr>
            </w:pPr>
            <w:r>
              <w:rPr>
                <w:rFonts w:hint="eastAsia" w:ascii="宋体" w:hAnsi="宋体" w:cs="宋体"/>
                <w:kern w:val="0"/>
                <w:szCs w:val="21"/>
              </w:rPr>
              <w:t>其中：</w:t>
            </w:r>
          </w:p>
          <w:p>
            <w:pPr>
              <w:widowControl/>
              <w:spacing w:line="320" w:lineRule="exact"/>
              <w:jc w:val="left"/>
              <w:textAlignment w:val="center"/>
              <w:rPr>
                <w:rFonts w:ascii="宋体" w:hAnsi="宋体" w:cs="宋体"/>
                <w:szCs w:val="21"/>
              </w:rPr>
            </w:pPr>
            <w:r>
              <w:rPr>
                <w:rFonts w:hint="eastAsia" w:ascii="宋体" w:hAnsi="宋体" w:cs="宋体"/>
                <w:kern w:val="0"/>
                <w:szCs w:val="21"/>
              </w:rPr>
              <w:t>财政拨款</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Cs w:val="21"/>
              </w:rPr>
            </w:pPr>
            <w:r>
              <w:rPr>
                <w:rFonts w:hint="eastAsia" w:ascii="宋体" w:hAnsi="宋体" w:cs="宋体"/>
                <w:szCs w:val="21"/>
              </w:rPr>
              <w:t>5.37</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szCs w:val="21"/>
              </w:rPr>
              <w:t>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rPr>
              <w:t>其他资金</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Cs w:val="21"/>
              </w:rPr>
            </w:pPr>
            <w:r>
              <w:rPr>
                <w:rFonts w:hint="eastAsia" w:ascii="宋体" w:hAnsi="宋体" w:cs="宋体"/>
                <w:szCs w:val="21"/>
              </w:rPr>
              <w:t>0</w:t>
            </w: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Cs w:val="21"/>
              </w:rPr>
            </w:pPr>
            <w:r>
              <w:rPr>
                <w:rFonts w:hint="eastAsia" w:ascii="宋体" w:hAnsi="宋体" w:cs="宋体"/>
                <w:kern w:val="0"/>
                <w:szCs w:val="21"/>
              </w:rPr>
              <w:t>年度总体目标</w:t>
            </w:r>
          </w:p>
          <w:p>
            <w:pPr>
              <w:widowControl/>
              <w:spacing w:line="320" w:lineRule="exact"/>
              <w:jc w:val="center"/>
              <w:textAlignment w:val="center"/>
              <w:rPr>
                <w:rFonts w:ascii="宋体" w:hAnsi="宋体" w:cs="宋体"/>
                <w:szCs w:val="21"/>
              </w:rPr>
            </w:pPr>
            <w:r>
              <w:rPr>
                <w:rFonts w:hint="eastAsia" w:ascii="宋体" w:hAnsi="宋体" w:cs="宋体"/>
                <w:kern w:val="0"/>
                <w:szCs w:val="21"/>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rPr>
              <w:t>预期目标</w:t>
            </w:r>
          </w:p>
        </w:tc>
        <w:tc>
          <w:tcPr>
            <w:tcW w:w="37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Cs w:val="21"/>
              </w:rPr>
            </w:pPr>
            <w:r>
              <w:rPr>
                <w:rFonts w:hint="eastAsia" w:ascii="宋体" w:hAnsi="宋体" w:cs="宋体"/>
                <w:kern w:val="0"/>
                <w:szCs w:val="21"/>
              </w:rPr>
              <w:t>认真贯彻执行人社部、省人社厅会议精神，以“基层、调解、预防为主”的方针为路径，按照“办案与预防并重、纵横衔接与能力拓展”的新“四位一体”要求，以仲裁端口前置为突破点，完善工作机制，创新服务方式，切实提升自身能力和服务水平，保证劳动关系；领域不发生影响稳定的群体性事件，为我市和谐劳动关系的构建发挥积极推动作用。</w:t>
            </w:r>
          </w:p>
        </w:tc>
        <w:tc>
          <w:tcPr>
            <w:tcW w:w="3747"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Cs w:val="21"/>
              </w:rPr>
            </w:pPr>
            <w:r>
              <w:rPr>
                <w:rFonts w:hint="eastAsia" w:ascii="宋体" w:hAnsi="宋体" w:cs="宋体"/>
                <w:kern w:val="0"/>
                <w:szCs w:val="21"/>
              </w:rPr>
              <w:t>认真贯彻执行人社部、省人社厅会议精神，以“基层、调解、预防为主”的方针为路径，按照“办案与预防并重、纵横衔接与能力拓展”的新“四位一体”要求，以仲裁端口前置为突破点，完善工作机制，创新服务方式，切实提升自身能力和服务水平，保证劳动关系；领域不发生影响稳定的群体性事件，为我市和谐劳动关系的构建发挥积极推动作用。</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p>
            <w:pPr>
              <w:widowControl/>
              <w:spacing w:line="320" w:lineRule="exact"/>
              <w:jc w:val="left"/>
              <w:textAlignment w:val="top"/>
              <w:rPr>
                <w:rFonts w:ascii="宋体" w:hAnsi="宋体" w:cs="宋体"/>
                <w:kern w:val="0"/>
                <w:szCs w:val="21"/>
              </w:rPr>
            </w:pPr>
            <w:r>
              <w:rPr>
                <w:rFonts w:hint="eastAsia" w:ascii="宋体" w:hAnsi="宋体" w:cs="宋体"/>
                <w:kern w:val="0"/>
                <w:szCs w:val="21"/>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一级</w:t>
            </w:r>
          </w:p>
          <w:p>
            <w:pPr>
              <w:widowControl/>
              <w:spacing w:line="320" w:lineRule="exact"/>
              <w:jc w:val="left"/>
              <w:textAlignment w:val="top"/>
              <w:rPr>
                <w:rFonts w:ascii="宋体" w:hAnsi="宋体" w:cs="宋体"/>
                <w:kern w:val="0"/>
                <w:szCs w:val="21"/>
              </w:rPr>
            </w:pPr>
            <w:r>
              <w:rPr>
                <w:rFonts w:hint="eastAsia" w:ascii="宋体" w:hAnsi="宋体" w:cs="宋体"/>
                <w:kern w:val="0"/>
                <w:szCs w:val="21"/>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二级</w:t>
            </w:r>
          </w:p>
          <w:p>
            <w:pPr>
              <w:widowControl/>
              <w:spacing w:line="320" w:lineRule="exact"/>
              <w:jc w:val="left"/>
              <w:textAlignment w:val="top"/>
              <w:rPr>
                <w:rFonts w:ascii="宋体" w:hAnsi="宋体" w:cs="宋体"/>
                <w:kern w:val="0"/>
                <w:szCs w:val="21"/>
              </w:rPr>
            </w:pPr>
            <w:r>
              <w:rPr>
                <w:rFonts w:hint="eastAsia" w:ascii="宋体" w:hAnsi="宋体" w:cs="宋体"/>
                <w:kern w:val="0"/>
                <w:szCs w:val="21"/>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三级</w:t>
            </w:r>
          </w:p>
          <w:p>
            <w:pPr>
              <w:widowControl/>
              <w:spacing w:line="320" w:lineRule="exact"/>
              <w:jc w:val="left"/>
              <w:textAlignment w:val="top"/>
              <w:rPr>
                <w:rFonts w:ascii="宋体" w:hAnsi="宋体" w:cs="宋体"/>
                <w:kern w:val="0"/>
                <w:szCs w:val="21"/>
              </w:rPr>
            </w:pPr>
            <w:r>
              <w:rPr>
                <w:rFonts w:hint="eastAsia" w:ascii="宋体" w:hAnsi="宋体" w:cs="宋体"/>
                <w:kern w:val="0"/>
                <w:szCs w:val="21"/>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预期指标值</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完成</w:t>
            </w:r>
          </w:p>
          <w:p>
            <w:pPr>
              <w:widowControl/>
              <w:spacing w:line="320" w:lineRule="exact"/>
              <w:jc w:val="left"/>
              <w:textAlignment w:val="top"/>
              <w:rPr>
                <w:rFonts w:ascii="宋体" w:hAnsi="宋体" w:cs="宋体"/>
                <w:kern w:val="0"/>
                <w:szCs w:val="21"/>
              </w:rPr>
            </w:pPr>
            <w:r>
              <w:rPr>
                <w:rFonts w:hint="eastAsia" w:ascii="宋体" w:hAnsi="宋体" w:cs="宋体"/>
                <w:kern w:val="0"/>
                <w:szCs w:val="21"/>
              </w:rPr>
              <w:t>指标</w:t>
            </w:r>
          </w:p>
        </w:tc>
        <w:tc>
          <w:tcPr>
            <w:tcW w:w="1635"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裁决处理劳动人事争议</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全年处理劳动人事争议案件约500件，法律宣传资料20000份</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2021年，全市接待来访群众25000余人（次），处理劳动争议4384件，涉及劳动者4384人,涉及标的金额9717.47万元。其中，案前调解2804件,立案受理1580件(调解结案1078件，裁决结案502件，撤诉0件),调解率达88.55%，结案率达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635"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法律适用研讨、疑难案件研讨</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疑难案件、法律问题召开三方四家、仲裁委员会成员单位会议</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分管领导带队对各区县的调解仲裁工作进行指导并就各自在工作中遇到的疑难案件等进行研讨。同时，组织全市仲裁员召开案件研讨会。</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635"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法律法规宣传</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宣传资料、调解资料等印刷10000份</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已印制并发放法律法规及相关政策等宣传资料20000份。全市开展对外讲堂10次，听众近3000余人次。</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ascii="宋体" w:hAnsi="宋体" w:cs="宋体"/>
                <w:kern w:val="0"/>
                <w:szCs w:val="21"/>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公平、公正处理争议案件</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当期结案率90%</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top"/>
              <w:rPr>
                <w:rFonts w:ascii="宋体" w:hAnsi="宋体" w:cs="宋体"/>
                <w:kern w:val="0"/>
                <w:szCs w:val="21"/>
              </w:rPr>
            </w:pPr>
            <w:r>
              <w:rPr>
                <w:rFonts w:hint="eastAsia" w:ascii="宋体" w:hAnsi="宋体" w:cs="宋体"/>
                <w:kern w:val="0"/>
                <w:szCs w:val="21"/>
              </w:rPr>
              <w:t>当期结案率100%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ascii="宋体" w:hAnsi="宋体" w:cs="宋体"/>
                <w:kern w:val="0"/>
                <w:szCs w:val="21"/>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按照工作推进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2021年12月底</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以按时间节点推进，不存在拖拉情况。</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ascii="宋体" w:hAnsi="宋体" w:cs="宋体"/>
                <w:kern w:val="0"/>
                <w:szCs w:val="21"/>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法律文书印制、送达、案件调查、归档、保存等</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全年平均200元/件*500件=10万元，印刷费2万元，培训费、会议费、委托业务费等共计3万元</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案件费、印刷费4.2万元，培训费、会议费、委托业务费等共计1.17万元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效益</w:t>
            </w:r>
            <w:r>
              <w:rPr>
                <w:rFonts w:hint="eastAsia" w:ascii="宋体" w:hAnsi="宋体" w:cs="宋体"/>
                <w:kern w:val="0"/>
                <w:szCs w:val="21"/>
              </w:rPr>
              <w:br w:type="textWrapping"/>
            </w:r>
            <w:r>
              <w:rPr>
                <w:rFonts w:hint="eastAsia" w:ascii="宋体" w:hAnsi="宋体" w:cs="宋体"/>
                <w:kern w:val="0"/>
                <w:szCs w:val="21"/>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用人单位规范用工，劳动者依法维权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依法促进劳动关系稳定，社会和谐</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工作人员到企业对其用工行为进行指导，至目前，全市仲裁裁决书撤销率为零，投诉率为零，较好维护了劳动关系和谐稳定。</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ascii="宋体" w:hAnsi="宋体" w:cs="宋体"/>
                <w:kern w:val="0"/>
                <w:szCs w:val="21"/>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案件档案使用年限</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≥10年</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对结案案件资料已及时完整归档。</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满意</w:t>
            </w:r>
            <w:r>
              <w:rPr>
                <w:rFonts w:hint="eastAsia" w:ascii="宋体" w:hAnsi="宋体" w:cs="宋体"/>
                <w:kern w:val="0"/>
                <w:szCs w:val="21"/>
              </w:rPr>
              <w:br w:type="textWrapping"/>
            </w:r>
            <w:r>
              <w:rPr>
                <w:rFonts w:hint="eastAsia" w:ascii="宋体" w:hAnsi="宋体" w:cs="宋体"/>
                <w:kern w:val="0"/>
                <w:szCs w:val="21"/>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满意度</w:t>
            </w:r>
          </w:p>
          <w:p>
            <w:pPr>
              <w:widowControl/>
              <w:spacing w:line="320" w:lineRule="exact"/>
              <w:jc w:val="left"/>
              <w:textAlignment w:val="top"/>
              <w:rPr>
                <w:rFonts w:ascii="宋体" w:hAnsi="宋体" w:cs="宋体"/>
                <w:kern w:val="0"/>
                <w:szCs w:val="21"/>
              </w:rPr>
            </w:pPr>
            <w:r>
              <w:rPr>
                <w:rFonts w:hint="eastAsia" w:ascii="宋体" w:hAnsi="宋体" w:cs="宋体"/>
                <w:kern w:val="0"/>
                <w:szCs w:val="21"/>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公众满意度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满意</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top"/>
              <w:rPr>
                <w:rFonts w:ascii="宋体" w:hAnsi="宋体" w:cs="宋体"/>
                <w:kern w:val="0"/>
                <w:szCs w:val="21"/>
              </w:rPr>
            </w:pPr>
            <w:r>
              <w:rPr>
                <w:rFonts w:hint="eastAsia" w:ascii="宋体" w:hAnsi="宋体" w:cs="宋体"/>
                <w:kern w:val="0"/>
                <w:szCs w:val="21"/>
              </w:rPr>
              <w:t>在解决劳动者工资拖欠，工伤保险待遇等方面受到群众的肯定。</w:t>
            </w:r>
          </w:p>
        </w:tc>
      </w:tr>
    </w:tbl>
    <w:p>
      <w:pPr>
        <w:widowControl/>
        <w:spacing w:line="320" w:lineRule="exact"/>
        <w:jc w:val="left"/>
        <w:textAlignment w:val="top"/>
        <w:rPr>
          <w:rFonts w:ascii="宋体" w:hAnsi="宋体" w:cs="宋体"/>
          <w:kern w:val="0"/>
          <w:sz w:val="24"/>
        </w:rPr>
      </w:pPr>
    </w:p>
    <w:p>
      <w:pPr>
        <w:pStyle w:val="2"/>
        <w:spacing w:before="93"/>
        <w:rPr>
          <w:rFonts w:ascii="宋体" w:hAnsi="宋体" w:eastAsia="宋体" w:cs="宋体"/>
          <w:sz w:val="24"/>
        </w:rPr>
      </w:pPr>
    </w:p>
    <w:p>
      <w:pPr>
        <w:pStyle w:val="2"/>
        <w:spacing w:before="93"/>
        <w:rPr>
          <w:rFonts w:ascii="宋体" w:hAnsi="宋体" w:eastAsia="宋体" w:cs="宋体"/>
          <w:sz w:val="24"/>
        </w:rPr>
      </w:pPr>
    </w:p>
    <w:p>
      <w:pPr>
        <w:pStyle w:val="2"/>
        <w:spacing w:before="93"/>
        <w:rPr>
          <w:rFonts w:ascii="宋体" w:hAnsi="宋体" w:eastAsia="宋体" w:cs="宋体"/>
          <w:sz w:val="24"/>
        </w:rPr>
      </w:pPr>
    </w:p>
    <w:p>
      <w:pPr>
        <w:pStyle w:val="2"/>
        <w:spacing w:before="93"/>
        <w:rPr>
          <w:rFonts w:ascii="宋体" w:hAnsi="宋体" w:eastAsia="宋体" w:cs="宋体"/>
          <w:sz w:val="24"/>
        </w:rPr>
      </w:pPr>
    </w:p>
    <w:p>
      <w:pPr>
        <w:pStyle w:val="2"/>
        <w:spacing w:before="93"/>
        <w:rPr>
          <w:rFonts w:ascii="宋体" w:hAnsi="宋体" w:eastAsia="宋体" w:cs="宋体"/>
          <w:sz w:val="24"/>
        </w:rPr>
      </w:pPr>
    </w:p>
    <w:bookmarkEnd w:id="74"/>
    <w:bookmarkEnd w:id="78"/>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r>
              <w:rPr>
                <w:rFonts w:hint="eastAsia" w:ascii="宋体" w:hAnsi="宋体" w:cs="宋体"/>
                <w:b/>
                <w:sz w:val="32"/>
                <w:szCs w:val="32"/>
              </w:rPr>
              <w:t>2021年不限金额特定目标类部门预算项目绩效目标自评</w:t>
            </w:r>
          </w:p>
          <w:p>
            <w:pPr>
              <w:widowControl/>
              <w:jc w:val="center"/>
              <w:textAlignment w:val="center"/>
              <w:rPr>
                <w:rFonts w:ascii="宋体" w:hAnsi="宋体" w:cs="宋体"/>
                <w:b/>
                <w:sz w:val="32"/>
                <w:szCs w:val="32"/>
              </w:rPr>
            </w:pPr>
            <w:r>
              <w:rPr>
                <w:rFonts w:hint="eastAsia" w:ascii="宋体" w:hAnsi="宋体" w:cs="宋体"/>
                <w:b/>
                <w:sz w:val="32"/>
                <w:szCs w:val="32"/>
              </w:rPr>
              <w:t>（编外聘用人员包干经费）</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Cs w:val="21"/>
              </w:rPr>
            </w:pPr>
            <w:r>
              <w:rPr>
                <w:rFonts w:hint="eastAsia" w:ascii="宋体" w:hAnsi="宋体" w:cs="宋体"/>
                <w:szCs w:val="21"/>
              </w:rPr>
              <w:t>502001-攀枝花市人力资源和社会保障局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szCs w:val="21"/>
              </w:rPr>
              <w:t>攀枝花市劳动人事争议仲裁院</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rPr>
              <w:t>项目预算</w:t>
            </w:r>
            <w:r>
              <w:rPr>
                <w:rFonts w:hint="eastAsia" w:ascii="宋体" w:hAnsi="宋体" w:cs="宋体"/>
                <w:kern w:val="0"/>
                <w:szCs w:val="21"/>
              </w:rPr>
              <w:br w:type="textWrapping"/>
            </w:r>
            <w:r>
              <w:rPr>
                <w:rFonts w:hint="eastAsia" w:ascii="宋体" w:hAnsi="宋体" w:cs="宋体"/>
                <w:kern w:val="0"/>
                <w:szCs w:val="21"/>
              </w:rPr>
              <w:t>执行情况</w:t>
            </w:r>
            <w:r>
              <w:rPr>
                <w:rFonts w:hint="eastAsia" w:ascii="宋体" w:hAnsi="宋体" w:cs="宋体"/>
                <w:kern w:val="0"/>
                <w:szCs w:val="21"/>
              </w:rPr>
              <w:br w:type="textWrapping"/>
            </w:r>
            <w:r>
              <w:rPr>
                <w:rFonts w:hint="eastAsia" w:ascii="宋体" w:hAnsi="宋体" w:cs="宋体"/>
                <w:kern w:val="0"/>
                <w:szCs w:val="21"/>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szCs w:val="21"/>
              </w:rPr>
              <w:t>14.58</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Cs w:val="21"/>
              </w:rPr>
            </w:pPr>
            <w:r>
              <w:rPr>
                <w:rFonts w:hint="eastAsia" w:ascii="宋体" w:hAnsi="宋体" w:cs="宋体"/>
                <w:szCs w:val="21"/>
              </w:rPr>
              <w:t>14.58</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Cs w:val="21"/>
              </w:rPr>
            </w:pPr>
            <w:r>
              <w:rPr>
                <w:rFonts w:hint="eastAsia" w:ascii="宋体" w:hAnsi="宋体" w:cs="宋体"/>
                <w:kern w:val="0"/>
                <w:szCs w:val="21"/>
              </w:rPr>
              <w:t>其中：</w:t>
            </w:r>
          </w:p>
          <w:p>
            <w:pPr>
              <w:widowControl/>
              <w:spacing w:line="320" w:lineRule="exact"/>
              <w:jc w:val="left"/>
              <w:textAlignment w:val="center"/>
              <w:rPr>
                <w:rFonts w:ascii="宋体" w:hAnsi="宋体" w:cs="宋体"/>
                <w:szCs w:val="21"/>
              </w:rPr>
            </w:pPr>
            <w:r>
              <w:rPr>
                <w:rFonts w:hint="eastAsia" w:ascii="宋体" w:hAnsi="宋体" w:cs="宋体"/>
                <w:kern w:val="0"/>
                <w:szCs w:val="21"/>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szCs w:val="21"/>
              </w:rPr>
              <w:t>14.58</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Cs w:val="21"/>
              </w:rPr>
            </w:pPr>
            <w:r>
              <w:rPr>
                <w:rFonts w:hint="eastAsia" w:ascii="宋体" w:hAnsi="宋体" w:cs="宋体"/>
                <w:kern w:val="0"/>
                <w:szCs w:val="21"/>
              </w:rPr>
              <w:t>其中：</w:t>
            </w:r>
          </w:p>
          <w:p>
            <w:pPr>
              <w:widowControl/>
              <w:spacing w:line="320" w:lineRule="exact"/>
              <w:jc w:val="left"/>
              <w:textAlignment w:val="center"/>
              <w:rPr>
                <w:rFonts w:ascii="宋体" w:hAnsi="宋体" w:cs="宋体"/>
                <w:szCs w:val="21"/>
              </w:rPr>
            </w:pPr>
            <w:r>
              <w:rPr>
                <w:rFonts w:hint="eastAsia" w:ascii="宋体" w:hAnsi="宋体" w:cs="宋体"/>
                <w:kern w:val="0"/>
                <w:szCs w:val="21"/>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Cs w:val="21"/>
              </w:rPr>
            </w:pPr>
            <w:r>
              <w:rPr>
                <w:rFonts w:hint="eastAsia" w:ascii="宋体" w:hAnsi="宋体" w:cs="宋体"/>
                <w:szCs w:val="21"/>
              </w:rPr>
              <w:t>14.58</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szCs w:val="21"/>
              </w:rPr>
              <w:t>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Cs w:val="21"/>
              </w:rPr>
            </w:pPr>
            <w:r>
              <w:rPr>
                <w:rFonts w:hint="eastAsia" w:ascii="宋体" w:hAnsi="宋体" w:cs="宋体"/>
                <w:kern w:val="0"/>
                <w:szCs w:val="21"/>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Cs w:val="21"/>
              </w:rPr>
            </w:pPr>
            <w:r>
              <w:rPr>
                <w:rFonts w:hint="eastAsia" w:ascii="宋体" w:hAnsi="宋体" w:cs="宋体"/>
                <w:szCs w:val="21"/>
              </w:rPr>
              <w:t>0</w:t>
            </w: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Cs w:val="21"/>
              </w:rPr>
            </w:pPr>
            <w:r>
              <w:rPr>
                <w:rFonts w:hint="eastAsia" w:ascii="宋体" w:hAnsi="宋体" w:cs="宋体"/>
                <w:kern w:val="0"/>
                <w:szCs w:val="21"/>
              </w:rPr>
              <w:t>年度总体目标</w:t>
            </w:r>
          </w:p>
          <w:p>
            <w:pPr>
              <w:widowControl/>
              <w:spacing w:line="320" w:lineRule="exact"/>
              <w:jc w:val="center"/>
              <w:textAlignment w:val="center"/>
              <w:rPr>
                <w:rFonts w:ascii="宋体" w:hAnsi="宋体" w:cs="宋体"/>
                <w:szCs w:val="21"/>
              </w:rPr>
            </w:pPr>
            <w:r>
              <w:rPr>
                <w:rFonts w:hint="eastAsia" w:ascii="宋体" w:hAnsi="宋体" w:cs="宋体"/>
                <w:kern w:val="0"/>
                <w:szCs w:val="21"/>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Cs w:val="21"/>
              </w:rPr>
            </w:pPr>
            <w:r>
              <w:rPr>
                <w:rFonts w:hint="eastAsia" w:ascii="宋体" w:hAnsi="宋体" w:cs="宋体"/>
                <w:kern w:val="0"/>
                <w:szCs w:val="21"/>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仿宋_GB2312" w:hAnsi="仿宋_GB2312" w:eastAsia="仿宋_GB2312" w:cs="仿宋_GB2312"/>
                <w:kern w:val="0"/>
                <w:szCs w:val="21"/>
              </w:rPr>
            </w:pPr>
            <w:r>
              <w:rPr>
                <w:rFonts w:hint="eastAsia" w:ascii="宋体" w:hAnsi="宋体" w:cs="宋体"/>
                <w:kern w:val="0"/>
                <w:szCs w:val="21"/>
              </w:rPr>
              <w:t>确保聘用人员工资及时发放，按时缴纳社会保险等，实现仲裁工作队伍的稳定性，为我市和谐劳动关系的构建发挥积极推动作用。</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仿宋_GB2312" w:hAnsi="仿宋_GB2312" w:eastAsia="仿宋_GB2312" w:cs="仿宋_GB2312"/>
                <w:kern w:val="0"/>
                <w:szCs w:val="21"/>
              </w:rPr>
            </w:pPr>
            <w:r>
              <w:rPr>
                <w:rFonts w:hint="eastAsia" w:ascii="宋体" w:hAnsi="宋体" w:cs="宋体"/>
                <w:kern w:val="0"/>
                <w:szCs w:val="21"/>
              </w:rPr>
              <w:t>确保聘用人员工资及时发放，按时缴纳社会保险等，实现仲裁工作队伍的稳定性，为我市和谐劳动关系的构建发挥积极推动作用。</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p>
          <w:p>
            <w:pPr>
              <w:spacing w:line="320" w:lineRule="exact"/>
              <w:jc w:val="center"/>
              <w:rPr>
                <w:rFonts w:ascii="宋体" w:hAnsi="宋体" w:cs="宋体"/>
                <w:szCs w:val="21"/>
              </w:rPr>
            </w:pPr>
            <w:r>
              <w:rPr>
                <w:rFonts w:hint="eastAsia" w:ascii="宋体" w:hAnsi="宋体" w:cs="宋体"/>
                <w:szCs w:val="21"/>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一级</w:t>
            </w:r>
          </w:p>
          <w:p>
            <w:pPr>
              <w:spacing w:line="320" w:lineRule="exact"/>
              <w:jc w:val="center"/>
              <w:rPr>
                <w:rFonts w:ascii="宋体" w:hAnsi="宋体" w:cs="宋体"/>
                <w:szCs w:val="21"/>
              </w:rPr>
            </w:pPr>
            <w:r>
              <w:rPr>
                <w:rFonts w:hint="eastAsia" w:ascii="宋体" w:hAnsi="宋体" w:cs="宋体"/>
                <w:szCs w:val="21"/>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二级</w:t>
            </w:r>
          </w:p>
          <w:p>
            <w:pPr>
              <w:spacing w:line="320" w:lineRule="exact"/>
              <w:jc w:val="center"/>
              <w:rPr>
                <w:rFonts w:ascii="宋体" w:hAnsi="宋体" w:cs="宋体"/>
                <w:szCs w:val="21"/>
              </w:rPr>
            </w:pPr>
            <w:r>
              <w:rPr>
                <w:rFonts w:hint="eastAsia" w:ascii="宋体" w:hAnsi="宋体" w:cs="宋体"/>
                <w:szCs w:val="21"/>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三级</w:t>
            </w:r>
          </w:p>
          <w:p>
            <w:pPr>
              <w:spacing w:line="320" w:lineRule="exact"/>
              <w:jc w:val="center"/>
              <w:rPr>
                <w:rFonts w:ascii="宋体" w:hAnsi="宋体" w:cs="宋体"/>
                <w:szCs w:val="21"/>
              </w:rPr>
            </w:pPr>
            <w:r>
              <w:rPr>
                <w:rFonts w:hint="eastAsia" w:ascii="宋体" w:hAnsi="宋体" w:cs="宋体"/>
                <w:szCs w:val="21"/>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完成</w:t>
            </w:r>
          </w:p>
          <w:p>
            <w:pPr>
              <w:spacing w:line="320" w:lineRule="exact"/>
              <w:jc w:val="center"/>
              <w:rPr>
                <w:rFonts w:ascii="宋体" w:hAnsi="宋体" w:cs="宋体"/>
                <w:szCs w:val="21"/>
              </w:rPr>
            </w:pPr>
            <w:r>
              <w:rPr>
                <w:rFonts w:hint="eastAsia" w:ascii="宋体" w:hAnsi="宋体" w:cs="宋体"/>
                <w:szCs w:val="21"/>
              </w:rPr>
              <w:t>指标</w:t>
            </w:r>
          </w:p>
        </w:tc>
        <w:tc>
          <w:tcPr>
            <w:tcW w:w="1635" w:type="dxa"/>
            <w:tcBorders>
              <w:top w:val="single" w:color="000000" w:sz="4" w:space="0"/>
              <w:left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3名聘用人员福利待遇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4050元/月/人</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按期完成</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宋体" w:hAnsi="宋体" w:cs="宋体"/>
                <w:szCs w:val="21"/>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按照年度每月支付</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按月支付聘用人员工资报酬</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按期完成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宋体" w:hAnsi="宋体" w:cs="宋体"/>
                <w:szCs w:val="21"/>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每月工资福利</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全年14.58万元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按期完成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效益</w:t>
            </w:r>
            <w:r>
              <w:rPr>
                <w:rFonts w:hint="eastAsia" w:ascii="宋体" w:hAnsi="宋体" w:cs="宋体"/>
                <w:szCs w:val="21"/>
              </w:rPr>
              <w:br w:type="textWrapping"/>
            </w:r>
            <w:r>
              <w:rPr>
                <w:rFonts w:hint="eastAsia" w:ascii="宋体" w:hAnsi="宋体" w:cs="宋体"/>
                <w:szCs w:val="21"/>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人单位规范用工，劳动者依法维权人单位规范用工，劳动者依法维权人单位规范用工，劳动者依法维权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依法促进劳动关系稳定，社会和谐</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按期完成</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Cs w:val="21"/>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宋体" w:hAnsi="宋体" w:cs="宋体"/>
                <w:szCs w:val="21"/>
              </w:rPr>
            </w:pPr>
            <w:r>
              <w:rPr>
                <w:rFonts w:hint="eastAsia" w:ascii="宋体" w:hAnsi="宋体" w:cs="宋体"/>
                <w:szCs w:val="21"/>
              </w:rPr>
              <w:t>满意</w:t>
            </w:r>
            <w:r>
              <w:rPr>
                <w:rFonts w:hint="eastAsia" w:ascii="宋体" w:hAnsi="宋体" w:cs="宋体"/>
                <w:szCs w:val="21"/>
              </w:rPr>
              <w:br w:type="textWrapping"/>
            </w:r>
            <w:r>
              <w:rPr>
                <w:rFonts w:hint="eastAsia" w:ascii="宋体" w:hAnsi="宋体" w:cs="宋体"/>
                <w:szCs w:val="21"/>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满意度</w:t>
            </w:r>
          </w:p>
          <w:p>
            <w:pPr>
              <w:spacing w:line="320" w:lineRule="exact"/>
              <w:jc w:val="center"/>
              <w:rPr>
                <w:rFonts w:ascii="宋体" w:hAnsi="宋体" w:cs="宋体"/>
                <w:szCs w:val="21"/>
              </w:rPr>
            </w:pPr>
            <w:r>
              <w:rPr>
                <w:rFonts w:hint="eastAsia" w:ascii="宋体" w:hAnsi="宋体" w:cs="宋体"/>
                <w:szCs w:val="21"/>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公众满意度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仲裁机构服务达到人社工作创满要求</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Cs w:val="21"/>
              </w:rPr>
            </w:pPr>
            <w:r>
              <w:rPr>
                <w:rFonts w:hint="eastAsia" w:ascii="宋体" w:hAnsi="宋体" w:cs="宋体"/>
                <w:szCs w:val="21"/>
              </w:rPr>
              <w:t>满意</w:t>
            </w:r>
          </w:p>
        </w:tc>
      </w:tr>
    </w:tbl>
    <w:p>
      <w:pPr>
        <w:spacing w:line="600" w:lineRule="exact"/>
        <w:jc w:val="center"/>
        <w:outlineLvl w:val="0"/>
        <w:rPr>
          <w:rFonts w:ascii="黑体" w:hAnsi="黑体" w:eastAsia="黑体"/>
          <w:szCs w:val="21"/>
        </w:rPr>
      </w:pPr>
    </w:p>
    <w:p>
      <w:pPr>
        <w:spacing w:line="600" w:lineRule="exact"/>
        <w:jc w:val="center"/>
        <w:outlineLvl w:val="0"/>
        <w:rPr>
          <w:rStyle w:val="25"/>
          <w:rFonts w:ascii="黑体" w:hAnsi="黑体" w:eastAsia="黑体"/>
          <w:b w:val="0"/>
        </w:rPr>
      </w:pPr>
      <w:bookmarkStart w:id="79" w:name="_Toc113564677"/>
      <w:r>
        <w:rPr>
          <w:rFonts w:hint="eastAsia" w:ascii="黑体" w:hAnsi="黑体" w:eastAsia="黑体"/>
          <w:sz w:val="44"/>
          <w:szCs w:val="44"/>
        </w:rPr>
        <w:t>第</w:t>
      </w:r>
      <w:r>
        <w:rPr>
          <w:rStyle w:val="25"/>
          <w:rFonts w:hint="eastAsia" w:ascii="黑体" w:hAnsi="黑体" w:eastAsia="黑体"/>
          <w:b w:val="0"/>
        </w:rPr>
        <w:t>五部分 附表</w:t>
      </w:r>
      <w:bookmarkEnd w:id="79"/>
      <w:bookmarkStart w:id="80" w:name="_Toc15396619"/>
      <w:bookmarkStart w:id="81" w:name="_Toc113564678"/>
    </w:p>
    <w:p>
      <w:pPr>
        <w:spacing w:line="600" w:lineRule="exact"/>
        <w:outlineLvl w:val="0"/>
        <w:rPr>
          <w:rStyle w:val="26"/>
          <w:rFonts w:ascii="仿宋" w:hAnsi="仿宋" w:eastAsia="仿宋"/>
          <w:b w:val="0"/>
          <w:bCs w:val="0"/>
        </w:rPr>
      </w:pPr>
    </w:p>
    <w:p>
      <w:pPr>
        <w:spacing w:line="600" w:lineRule="exact"/>
        <w:outlineLvl w:val="0"/>
        <w:rPr>
          <w:rStyle w:val="26"/>
          <w:rFonts w:ascii="仿宋" w:hAnsi="仿宋" w:eastAsia="仿宋"/>
          <w:b w:val="0"/>
          <w:bCs w:val="0"/>
        </w:rPr>
      </w:pPr>
      <w:r>
        <w:rPr>
          <w:rStyle w:val="26"/>
          <w:rFonts w:hint="eastAsia" w:ascii="仿宋" w:hAnsi="仿宋" w:eastAsia="仿宋"/>
          <w:b w:val="0"/>
          <w:bCs w:val="0"/>
        </w:rPr>
        <w:t>一、收入支出决算总表</w:t>
      </w:r>
      <w:bookmarkEnd w:id="80"/>
      <w:bookmarkEnd w:id="81"/>
      <w:bookmarkStart w:id="82" w:name="_Toc113564679"/>
      <w:bookmarkStart w:id="83" w:name="_Toc15396620"/>
    </w:p>
    <w:p>
      <w:pPr>
        <w:spacing w:line="600" w:lineRule="exact"/>
        <w:outlineLvl w:val="0"/>
        <w:rPr>
          <w:rStyle w:val="26"/>
          <w:rFonts w:ascii="仿宋" w:hAnsi="仿宋" w:eastAsia="仿宋"/>
          <w:b w:val="0"/>
          <w:bCs w:val="0"/>
        </w:rPr>
      </w:pPr>
      <w:r>
        <w:rPr>
          <w:rStyle w:val="26"/>
          <w:rFonts w:hint="eastAsia" w:ascii="仿宋" w:hAnsi="仿宋" w:eastAsia="仿宋"/>
          <w:b w:val="0"/>
          <w:bCs w:val="0"/>
        </w:rPr>
        <w:t>二、收入决算表</w:t>
      </w:r>
      <w:bookmarkEnd w:id="82"/>
      <w:bookmarkEnd w:id="83"/>
      <w:bookmarkStart w:id="84" w:name="_Toc113564680"/>
      <w:bookmarkStart w:id="85" w:name="_Toc15396621"/>
    </w:p>
    <w:p>
      <w:pPr>
        <w:spacing w:line="600" w:lineRule="exact"/>
        <w:outlineLvl w:val="0"/>
        <w:rPr>
          <w:rStyle w:val="26"/>
          <w:rFonts w:ascii="仿宋" w:hAnsi="仿宋" w:eastAsia="仿宋"/>
          <w:b w:val="0"/>
          <w:bCs w:val="0"/>
        </w:rPr>
      </w:pPr>
      <w:r>
        <w:rPr>
          <w:rStyle w:val="26"/>
          <w:rFonts w:hint="eastAsia" w:ascii="仿宋" w:hAnsi="仿宋" w:eastAsia="仿宋"/>
          <w:b w:val="0"/>
          <w:bCs w:val="0"/>
        </w:rPr>
        <w:t>三、支出决算表</w:t>
      </w:r>
      <w:bookmarkEnd w:id="84"/>
      <w:bookmarkEnd w:id="85"/>
      <w:bookmarkStart w:id="86" w:name="_Toc15396622"/>
      <w:bookmarkStart w:id="87" w:name="_Toc113564681"/>
    </w:p>
    <w:p>
      <w:pPr>
        <w:spacing w:line="600" w:lineRule="exact"/>
        <w:outlineLvl w:val="0"/>
        <w:rPr>
          <w:rStyle w:val="26"/>
          <w:rFonts w:ascii="仿宋" w:hAnsi="仿宋" w:eastAsia="仿宋"/>
          <w:b w:val="0"/>
          <w:bCs w:val="0"/>
        </w:rPr>
      </w:pPr>
      <w:r>
        <w:rPr>
          <w:rStyle w:val="26"/>
          <w:rFonts w:hint="eastAsia" w:ascii="仿宋" w:hAnsi="仿宋" w:eastAsia="仿宋"/>
          <w:b w:val="0"/>
          <w:bCs w:val="0"/>
        </w:rPr>
        <w:t>四、财政拨款收入支出决算总表</w:t>
      </w:r>
      <w:bookmarkEnd w:id="86"/>
      <w:bookmarkEnd w:id="87"/>
      <w:bookmarkStart w:id="88" w:name="_Toc15396623"/>
      <w:bookmarkStart w:id="89" w:name="_Toc113564682"/>
    </w:p>
    <w:p>
      <w:pPr>
        <w:spacing w:line="600" w:lineRule="exact"/>
        <w:outlineLvl w:val="0"/>
        <w:rPr>
          <w:rStyle w:val="26"/>
          <w:rFonts w:ascii="仿宋" w:hAnsi="仿宋" w:eastAsia="仿宋"/>
          <w:b w:val="0"/>
          <w:bCs w:val="0"/>
        </w:rPr>
      </w:pPr>
      <w:r>
        <w:rPr>
          <w:rStyle w:val="26"/>
          <w:rFonts w:hint="eastAsia" w:ascii="仿宋" w:hAnsi="仿宋" w:eastAsia="仿宋"/>
          <w:b w:val="0"/>
          <w:bCs w:val="0"/>
        </w:rPr>
        <w:t>五、财政拨款支出决算明细表</w:t>
      </w:r>
      <w:bookmarkEnd w:id="88"/>
      <w:bookmarkEnd w:id="89"/>
      <w:bookmarkStart w:id="90" w:name="_Toc113564683"/>
      <w:bookmarkStart w:id="91" w:name="_Toc15396624"/>
    </w:p>
    <w:p>
      <w:pPr>
        <w:spacing w:line="600" w:lineRule="exact"/>
        <w:outlineLvl w:val="0"/>
        <w:rPr>
          <w:rStyle w:val="26"/>
          <w:rFonts w:ascii="仿宋" w:hAnsi="仿宋" w:eastAsia="仿宋"/>
          <w:b w:val="0"/>
          <w:bCs w:val="0"/>
        </w:rPr>
      </w:pPr>
      <w:r>
        <w:rPr>
          <w:rStyle w:val="26"/>
          <w:rFonts w:hint="eastAsia" w:ascii="仿宋" w:hAnsi="仿宋" w:eastAsia="仿宋"/>
          <w:b w:val="0"/>
          <w:bCs w:val="0"/>
        </w:rPr>
        <w:t>六、一般公共预算财政拨款支出决算表</w:t>
      </w:r>
      <w:bookmarkEnd w:id="90"/>
      <w:bookmarkEnd w:id="91"/>
      <w:bookmarkStart w:id="92" w:name="_Toc15396625"/>
      <w:bookmarkStart w:id="93" w:name="_Toc113564684"/>
    </w:p>
    <w:p>
      <w:pPr>
        <w:spacing w:line="600" w:lineRule="exact"/>
        <w:outlineLvl w:val="0"/>
        <w:rPr>
          <w:rStyle w:val="26"/>
          <w:rFonts w:ascii="仿宋" w:hAnsi="仿宋" w:eastAsia="仿宋"/>
          <w:b w:val="0"/>
          <w:bCs w:val="0"/>
        </w:rPr>
      </w:pPr>
      <w:r>
        <w:rPr>
          <w:rStyle w:val="26"/>
          <w:rFonts w:hint="eastAsia" w:ascii="仿宋" w:hAnsi="仿宋" w:eastAsia="仿宋"/>
          <w:b w:val="0"/>
          <w:bCs w:val="0"/>
        </w:rPr>
        <w:t>七、一般公共预算财政拨款支出决算明细表</w:t>
      </w:r>
      <w:bookmarkEnd w:id="92"/>
      <w:bookmarkEnd w:id="93"/>
      <w:bookmarkStart w:id="94" w:name="_Toc113564685"/>
      <w:bookmarkStart w:id="95" w:name="_Toc15396626"/>
    </w:p>
    <w:p>
      <w:pPr>
        <w:spacing w:line="600" w:lineRule="exact"/>
        <w:outlineLvl w:val="0"/>
        <w:rPr>
          <w:rStyle w:val="26"/>
          <w:rFonts w:ascii="仿宋" w:hAnsi="仿宋" w:eastAsia="仿宋"/>
          <w:b w:val="0"/>
          <w:bCs w:val="0"/>
        </w:rPr>
      </w:pPr>
      <w:r>
        <w:rPr>
          <w:rStyle w:val="26"/>
          <w:rFonts w:hint="eastAsia" w:ascii="仿宋" w:hAnsi="仿宋" w:eastAsia="仿宋"/>
          <w:b w:val="0"/>
          <w:bCs w:val="0"/>
        </w:rPr>
        <w:t>八、一般公共预算财政拨款基本支出决算表</w:t>
      </w:r>
      <w:bookmarkEnd w:id="94"/>
      <w:bookmarkEnd w:id="95"/>
      <w:bookmarkStart w:id="96" w:name="_Toc15396627"/>
      <w:bookmarkStart w:id="97" w:name="_Toc113564686"/>
    </w:p>
    <w:p>
      <w:pPr>
        <w:spacing w:line="600" w:lineRule="exact"/>
        <w:outlineLvl w:val="0"/>
        <w:rPr>
          <w:rStyle w:val="26"/>
          <w:rFonts w:ascii="仿宋" w:hAnsi="仿宋" w:eastAsia="仿宋"/>
          <w:b w:val="0"/>
          <w:bCs w:val="0"/>
        </w:rPr>
      </w:pPr>
      <w:r>
        <w:rPr>
          <w:rStyle w:val="26"/>
          <w:rFonts w:hint="eastAsia" w:ascii="仿宋" w:hAnsi="仿宋" w:eastAsia="仿宋"/>
          <w:b w:val="0"/>
          <w:bCs w:val="0"/>
        </w:rPr>
        <w:t>九、一般公共预算财政拨款项目支出决算表</w:t>
      </w:r>
      <w:bookmarkEnd w:id="96"/>
      <w:bookmarkEnd w:id="97"/>
      <w:bookmarkStart w:id="98" w:name="_Toc113564687"/>
      <w:bookmarkStart w:id="99" w:name="_Toc15396628"/>
    </w:p>
    <w:p>
      <w:pPr>
        <w:spacing w:line="600" w:lineRule="exact"/>
        <w:outlineLvl w:val="0"/>
        <w:rPr>
          <w:rStyle w:val="26"/>
          <w:rFonts w:ascii="仿宋" w:hAnsi="仿宋" w:eastAsia="仿宋"/>
          <w:b w:val="0"/>
          <w:bCs w:val="0"/>
        </w:rPr>
      </w:pPr>
      <w:r>
        <w:rPr>
          <w:rStyle w:val="26"/>
          <w:rFonts w:hint="eastAsia" w:ascii="仿宋" w:hAnsi="仿宋" w:eastAsia="仿宋"/>
          <w:b w:val="0"/>
          <w:bCs w:val="0"/>
        </w:rPr>
        <w:t>十、一般公共预算财政拨款“三公”经费支出决算表</w:t>
      </w:r>
      <w:bookmarkEnd w:id="98"/>
      <w:bookmarkEnd w:id="99"/>
      <w:bookmarkStart w:id="100" w:name="_Toc113564688"/>
      <w:bookmarkStart w:id="101" w:name="_Toc15396629"/>
    </w:p>
    <w:p>
      <w:pPr>
        <w:spacing w:line="600" w:lineRule="exact"/>
        <w:outlineLvl w:val="0"/>
        <w:rPr>
          <w:rStyle w:val="26"/>
          <w:rFonts w:ascii="仿宋" w:hAnsi="仿宋" w:eastAsia="仿宋"/>
          <w:b w:val="0"/>
          <w:bCs w:val="0"/>
        </w:rPr>
      </w:pPr>
      <w:r>
        <w:rPr>
          <w:rStyle w:val="26"/>
          <w:rFonts w:hint="eastAsia" w:ascii="仿宋" w:hAnsi="仿宋" w:eastAsia="仿宋"/>
          <w:b w:val="0"/>
          <w:bCs w:val="0"/>
        </w:rPr>
        <w:t>十一、政府性基金预算财政拨款收入支出决算表</w:t>
      </w:r>
      <w:bookmarkEnd w:id="100"/>
      <w:bookmarkEnd w:id="101"/>
      <w:r>
        <w:rPr>
          <w:rStyle w:val="26"/>
          <w:rFonts w:hint="eastAsia" w:ascii="仿宋" w:hAnsi="仿宋" w:eastAsia="仿宋"/>
          <w:b w:val="0"/>
          <w:bCs w:val="0"/>
        </w:rPr>
        <w:t>（此表无数据）</w:t>
      </w:r>
      <w:bookmarkStart w:id="102" w:name="_Toc113564689"/>
      <w:bookmarkStart w:id="103" w:name="_Toc15396630"/>
    </w:p>
    <w:p>
      <w:pPr>
        <w:spacing w:line="600" w:lineRule="exact"/>
        <w:outlineLvl w:val="0"/>
        <w:rPr>
          <w:rStyle w:val="26"/>
          <w:rFonts w:ascii="仿宋" w:hAnsi="仿宋" w:eastAsia="仿宋"/>
          <w:b w:val="0"/>
          <w:bCs w:val="0"/>
        </w:rPr>
      </w:pPr>
      <w:r>
        <w:rPr>
          <w:rStyle w:val="26"/>
          <w:rFonts w:hint="eastAsia" w:ascii="仿宋" w:hAnsi="仿宋" w:eastAsia="仿宋"/>
          <w:b w:val="0"/>
          <w:bCs w:val="0"/>
        </w:rPr>
        <w:t>十二、政府性基金预算财政拨款“三公”经费支出决算表</w:t>
      </w:r>
      <w:bookmarkEnd w:id="102"/>
      <w:bookmarkEnd w:id="103"/>
      <w:r>
        <w:rPr>
          <w:rStyle w:val="26"/>
          <w:rFonts w:hint="eastAsia" w:ascii="仿宋" w:hAnsi="仿宋" w:eastAsia="仿宋"/>
          <w:b w:val="0"/>
          <w:bCs w:val="0"/>
        </w:rPr>
        <w:t>（此表无数据）</w:t>
      </w:r>
      <w:bookmarkStart w:id="104" w:name="_Toc113564690"/>
      <w:bookmarkStart w:id="105" w:name="_Toc15396631"/>
    </w:p>
    <w:p>
      <w:pPr>
        <w:spacing w:line="600" w:lineRule="exact"/>
        <w:outlineLvl w:val="0"/>
        <w:rPr>
          <w:rStyle w:val="26"/>
          <w:rFonts w:ascii="仿宋" w:hAnsi="仿宋" w:eastAsia="仿宋"/>
          <w:b w:val="0"/>
          <w:bCs w:val="0"/>
        </w:rPr>
      </w:pPr>
      <w:r>
        <w:rPr>
          <w:rStyle w:val="26"/>
          <w:rFonts w:hint="eastAsia" w:ascii="仿宋" w:hAnsi="仿宋" w:eastAsia="仿宋"/>
          <w:b w:val="0"/>
          <w:bCs w:val="0"/>
        </w:rPr>
        <w:t>十三、国有资本经营预算财政拨款收入支出决算表</w:t>
      </w:r>
      <w:bookmarkEnd w:id="104"/>
      <w:bookmarkEnd w:id="105"/>
      <w:r>
        <w:rPr>
          <w:rStyle w:val="26"/>
          <w:rFonts w:hint="eastAsia" w:ascii="仿宋" w:hAnsi="仿宋" w:eastAsia="仿宋"/>
          <w:b w:val="0"/>
          <w:bCs w:val="0"/>
        </w:rPr>
        <w:t>（此表无数据）</w:t>
      </w:r>
      <w:bookmarkStart w:id="106" w:name="_Toc113564691"/>
    </w:p>
    <w:p>
      <w:pPr>
        <w:spacing w:line="600" w:lineRule="exact"/>
        <w:outlineLvl w:val="0"/>
        <w:rPr>
          <w:rStyle w:val="26"/>
          <w:rFonts w:ascii="仿宋" w:hAnsi="仿宋" w:eastAsia="仿宋"/>
          <w:b w:val="0"/>
          <w:bCs w:val="0"/>
        </w:rPr>
      </w:pPr>
      <w:r>
        <w:rPr>
          <w:rStyle w:val="26"/>
          <w:rFonts w:hint="eastAsia" w:ascii="仿宋" w:hAnsi="仿宋" w:eastAsia="仿宋"/>
          <w:b w:val="0"/>
          <w:bCs w:val="0"/>
        </w:rPr>
        <w:t>十四、国有资本经营预算财政拨款支出决算表</w:t>
      </w:r>
      <w:bookmarkEnd w:id="106"/>
      <w:r>
        <w:rPr>
          <w:rStyle w:val="26"/>
          <w:rFonts w:hint="eastAsia" w:ascii="仿宋" w:hAnsi="仿宋" w:eastAsia="仿宋"/>
          <w:b w:val="0"/>
          <w:bCs w:val="0"/>
        </w:rPr>
        <w:t>（此表无数据）</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22</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lkZWU5NjczZDQyNzMzMWY3YmVmNTBhNTIxZjRiMmYifQ=="/>
  </w:docVars>
  <w:rsids>
    <w:rsidRoot w:val="00F1361C"/>
    <w:rsid w:val="000222C6"/>
    <w:rsid w:val="0002549F"/>
    <w:rsid w:val="000468DB"/>
    <w:rsid w:val="000506DD"/>
    <w:rsid w:val="00055C67"/>
    <w:rsid w:val="0006077C"/>
    <w:rsid w:val="0006487A"/>
    <w:rsid w:val="00065F8F"/>
    <w:rsid w:val="00070A43"/>
    <w:rsid w:val="000768F2"/>
    <w:rsid w:val="00082683"/>
    <w:rsid w:val="0009184B"/>
    <w:rsid w:val="00094236"/>
    <w:rsid w:val="0009593C"/>
    <w:rsid w:val="00097322"/>
    <w:rsid w:val="000A4B76"/>
    <w:rsid w:val="000A6A92"/>
    <w:rsid w:val="000B047F"/>
    <w:rsid w:val="000B5923"/>
    <w:rsid w:val="000B5A48"/>
    <w:rsid w:val="000B6FF3"/>
    <w:rsid w:val="000C3467"/>
    <w:rsid w:val="000C3CA6"/>
    <w:rsid w:val="000D1267"/>
    <w:rsid w:val="000D1D50"/>
    <w:rsid w:val="000D5782"/>
    <w:rsid w:val="000E5D15"/>
    <w:rsid w:val="000E6613"/>
    <w:rsid w:val="000E7119"/>
    <w:rsid w:val="000F0E24"/>
    <w:rsid w:val="00114E9B"/>
    <w:rsid w:val="00142216"/>
    <w:rsid w:val="00144D6A"/>
    <w:rsid w:val="0014729F"/>
    <w:rsid w:val="00157BAB"/>
    <w:rsid w:val="001654D1"/>
    <w:rsid w:val="00174518"/>
    <w:rsid w:val="0018106D"/>
    <w:rsid w:val="001877A7"/>
    <w:rsid w:val="00191536"/>
    <w:rsid w:val="00196687"/>
    <w:rsid w:val="001B0870"/>
    <w:rsid w:val="001C0962"/>
    <w:rsid w:val="001D7531"/>
    <w:rsid w:val="001E737D"/>
    <w:rsid w:val="001F0592"/>
    <w:rsid w:val="001F4EDA"/>
    <w:rsid w:val="001F7506"/>
    <w:rsid w:val="002006CD"/>
    <w:rsid w:val="00202B36"/>
    <w:rsid w:val="00204B7A"/>
    <w:rsid w:val="00204CDE"/>
    <w:rsid w:val="0021101A"/>
    <w:rsid w:val="00220536"/>
    <w:rsid w:val="00235629"/>
    <w:rsid w:val="00243417"/>
    <w:rsid w:val="00260C38"/>
    <w:rsid w:val="002616C0"/>
    <w:rsid w:val="00265372"/>
    <w:rsid w:val="002662AA"/>
    <w:rsid w:val="00280496"/>
    <w:rsid w:val="002934E8"/>
    <w:rsid w:val="00294DC9"/>
    <w:rsid w:val="00295495"/>
    <w:rsid w:val="002A31DE"/>
    <w:rsid w:val="002B2613"/>
    <w:rsid w:val="002D41D3"/>
    <w:rsid w:val="002D6D05"/>
    <w:rsid w:val="002E4019"/>
    <w:rsid w:val="002F1818"/>
    <w:rsid w:val="002F567B"/>
    <w:rsid w:val="003216A9"/>
    <w:rsid w:val="00322D4C"/>
    <w:rsid w:val="00335A74"/>
    <w:rsid w:val="00350892"/>
    <w:rsid w:val="00357982"/>
    <w:rsid w:val="0036561B"/>
    <w:rsid w:val="0037013F"/>
    <w:rsid w:val="00380C92"/>
    <w:rsid w:val="0038208F"/>
    <w:rsid w:val="0039721D"/>
    <w:rsid w:val="003A484F"/>
    <w:rsid w:val="003A4883"/>
    <w:rsid w:val="003B0BE0"/>
    <w:rsid w:val="003B0C1B"/>
    <w:rsid w:val="003B688C"/>
    <w:rsid w:val="003C0291"/>
    <w:rsid w:val="003C39AE"/>
    <w:rsid w:val="003C7B60"/>
    <w:rsid w:val="003D0C0F"/>
    <w:rsid w:val="003D1FB2"/>
    <w:rsid w:val="003D66DA"/>
    <w:rsid w:val="003E1310"/>
    <w:rsid w:val="003E6F55"/>
    <w:rsid w:val="003F275C"/>
    <w:rsid w:val="00406254"/>
    <w:rsid w:val="004223DE"/>
    <w:rsid w:val="00434489"/>
    <w:rsid w:val="00437085"/>
    <w:rsid w:val="00443880"/>
    <w:rsid w:val="004464F4"/>
    <w:rsid w:val="00471401"/>
    <w:rsid w:val="00473F31"/>
    <w:rsid w:val="0048263A"/>
    <w:rsid w:val="00487E5D"/>
    <w:rsid w:val="004A711F"/>
    <w:rsid w:val="004B199D"/>
    <w:rsid w:val="004B4690"/>
    <w:rsid w:val="004C23C7"/>
    <w:rsid w:val="004E0A2D"/>
    <w:rsid w:val="004E206B"/>
    <w:rsid w:val="004E6DF7"/>
    <w:rsid w:val="004F0FBD"/>
    <w:rsid w:val="00505A47"/>
    <w:rsid w:val="00512FDA"/>
    <w:rsid w:val="00516DB3"/>
    <w:rsid w:val="00516E05"/>
    <w:rsid w:val="00520DA0"/>
    <w:rsid w:val="00532075"/>
    <w:rsid w:val="005541D9"/>
    <w:rsid w:val="00555EF1"/>
    <w:rsid w:val="005664BB"/>
    <w:rsid w:val="00566FFA"/>
    <w:rsid w:val="00570AF5"/>
    <w:rsid w:val="0057481D"/>
    <w:rsid w:val="0058486E"/>
    <w:rsid w:val="00585B33"/>
    <w:rsid w:val="0059014D"/>
    <w:rsid w:val="005A0754"/>
    <w:rsid w:val="005B5C64"/>
    <w:rsid w:val="005C5337"/>
    <w:rsid w:val="005C6BD0"/>
    <w:rsid w:val="005D1C8B"/>
    <w:rsid w:val="005D468D"/>
    <w:rsid w:val="005D5CED"/>
    <w:rsid w:val="005E2370"/>
    <w:rsid w:val="005F1A4C"/>
    <w:rsid w:val="00600082"/>
    <w:rsid w:val="00604BC6"/>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7793F"/>
    <w:rsid w:val="00681A31"/>
    <w:rsid w:val="00683373"/>
    <w:rsid w:val="006834BD"/>
    <w:rsid w:val="00683E73"/>
    <w:rsid w:val="006A3141"/>
    <w:rsid w:val="006A5E34"/>
    <w:rsid w:val="006B2422"/>
    <w:rsid w:val="006B2B9A"/>
    <w:rsid w:val="006C1937"/>
    <w:rsid w:val="006F020C"/>
    <w:rsid w:val="007127B7"/>
    <w:rsid w:val="0071798E"/>
    <w:rsid w:val="007416B6"/>
    <w:rsid w:val="00746F48"/>
    <w:rsid w:val="0075404D"/>
    <w:rsid w:val="0076182A"/>
    <w:rsid w:val="007642EB"/>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7F6D91"/>
    <w:rsid w:val="00800112"/>
    <w:rsid w:val="00813348"/>
    <w:rsid w:val="008253BB"/>
    <w:rsid w:val="0083706E"/>
    <w:rsid w:val="008408F6"/>
    <w:rsid w:val="008423A5"/>
    <w:rsid w:val="00850625"/>
    <w:rsid w:val="00853718"/>
    <w:rsid w:val="00853DEC"/>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778E9"/>
    <w:rsid w:val="00A91760"/>
    <w:rsid w:val="00A93B00"/>
    <w:rsid w:val="00A93C21"/>
    <w:rsid w:val="00A960E5"/>
    <w:rsid w:val="00AB64C9"/>
    <w:rsid w:val="00AC3C6A"/>
    <w:rsid w:val="00AD5620"/>
    <w:rsid w:val="00AD656B"/>
    <w:rsid w:val="00AD7C1B"/>
    <w:rsid w:val="00AE017D"/>
    <w:rsid w:val="00AE16BA"/>
    <w:rsid w:val="00AE1EBE"/>
    <w:rsid w:val="00AE3FA9"/>
    <w:rsid w:val="00AE630A"/>
    <w:rsid w:val="00B03C9D"/>
    <w:rsid w:val="00B060AE"/>
    <w:rsid w:val="00B10517"/>
    <w:rsid w:val="00B14E76"/>
    <w:rsid w:val="00B161B8"/>
    <w:rsid w:val="00B2048C"/>
    <w:rsid w:val="00B310B9"/>
    <w:rsid w:val="00B35524"/>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260FC"/>
    <w:rsid w:val="00C33E72"/>
    <w:rsid w:val="00C34E54"/>
    <w:rsid w:val="00C354B2"/>
    <w:rsid w:val="00C35554"/>
    <w:rsid w:val="00C35EF1"/>
    <w:rsid w:val="00C42709"/>
    <w:rsid w:val="00C435CB"/>
    <w:rsid w:val="00C533CC"/>
    <w:rsid w:val="00C5751C"/>
    <w:rsid w:val="00C60732"/>
    <w:rsid w:val="00C61BFC"/>
    <w:rsid w:val="00C62B85"/>
    <w:rsid w:val="00C65438"/>
    <w:rsid w:val="00C87FD8"/>
    <w:rsid w:val="00C91381"/>
    <w:rsid w:val="00C91CBB"/>
    <w:rsid w:val="00CA54E4"/>
    <w:rsid w:val="00CB4E70"/>
    <w:rsid w:val="00CC09B6"/>
    <w:rsid w:val="00CC666F"/>
    <w:rsid w:val="00CD1E3F"/>
    <w:rsid w:val="00CE44F6"/>
    <w:rsid w:val="00CE49DA"/>
    <w:rsid w:val="00CE6BE1"/>
    <w:rsid w:val="00CE7B61"/>
    <w:rsid w:val="00D00095"/>
    <w:rsid w:val="00D114F0"/>
    <w:rsid w:val="00D20620"/>
    <w:rsid w:val="00D254F7"/>
    <w:rsid w:val="00D26091"/>
    <w:rsid w:val="00D2685C"/>
    <w:rsid w:val="00D34E7C"/>
    <w:rsid w:val="00D35489"/>
    <w:rsid w:val="00D357E5"/>
    <w:rsid w:val="00D36AFE"/>
    <w:rsid w:val="00D51276"/>
    <w:rsid w:val="00D7035F"/>
    <w:rsid w:val="00DA634F"/>
    <w:rsid w:val="00DA65AC"/>
    <w:rsid w:val="00DB1913"/>
    <w:rsid w:val="00DC1C28"/>
    <w:rsid w:val="00DC410D"/>
    <w:rsid w:val="00DC5A81"/>
    <w:rsid w:val="00DC68CA"/>
    <w:rsid w:val="00DC7CBA"/>
    <w:rsid w:val="00DD73B7"/>
    <w:rsid w:val="00DF28BC"/>
    <w:rsid w:val="00DF34B9"/>
    <w:rsid w:val="00E01053"/>
    <w:rsid w:val="00E07ACF"/>
    <w:rsid w:val="00E24EB0"/>
    <w:rsid w:val="00E331A1"/>
    <w:rsid w:val="00E33202"/>
    <w:rsid w:val="00E336A9"/>
    <w:rsid w:val="00E4564A"/>
    <w:rsid w:val="00E472B1"/>
    <w:rsid w:val="00E50624"/>
    <w:rsid w:val="00E568DF"/>
    <w:rsid w:val="00E61A80"/>
    <w:rsid w:val="00E62C3C"/>
    <w:rsid w:val="00E64269"/>
    <w:rsid w:val="00E82267"/>
    <w:rsid w:val="00E8327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138E"/>
    <w:rsid w:val="00F36D8F"/>
    <w:rsid w:val="00F417B1"/>
    <w:rsid w:val="00F45853"/>
    <w:rsid w:val="00F54513"/>
    <w:rsid w:val="00F602DF"/>
    <w:rsid w:val="00F754A1"/>
    <w:rsid w:val="00F81FD9"/>
    <w:rsid w:val="00F841AA"/>
    <w:rsid w:val="00F84A94"/>
    <w:rsid w:val="00F87E96"/>
    <w:rsid w:val="00FA23E8"/>
    <w:rsid w:val="00FB0888"/>
    <w:rsid w:val="00FB381D"/>
    <w:rsid w:val="00FD3CC1"/>
    <w:rsid w:val="00FF1E02"/>
    <w:rsid w:val="00FF30B4"/>
    <w:rsid w:val="08962BBC"/>
    <w:rsid w:val="0A2032A3"/>
    <w:rsid w:val="0B8148F3"/>
    <w:rsid w:val="0B8A37D8"/>
    <w:rsid w:val="0CAC7C56"/>
    <w:rsid w:val="0FC83F13"/>
    <w:rsid w:val="0FE97045"/>
    <w:rsid w:val="10C055FF"/>
    <w:rsid w:val="118107EC"/>
    <w:rsid w:val="11DD6519"/>
    <w:rsid w:val="16BB723D"/>
    <w:rsid w:val="16F2389F"/>
    <w:rsid w:val="18015F3F"/>
    <w:rsid w:val="19315A4B"/>
    <w:rsid w:val="19887CFE"/>
    <w:rsid w:val="1B627DEA"/>
    <w:rsid w:val="1BE8440E"/>
    <w:rsid w:val="1D0B1071"/>
    <w:rsid w:val="1D155CEE"/>
    <w:rsid w:val="20340A84"/>
    <w:rsid w:val="20F57F95"/>
    <w:rsid w:val="23111551"/>
    <w:rsid w:val="240371BF"/>
    <w:rsid w:val="24B23C84"/>
    <w:rsid w:val="25C741E6"/>
    <w:rsid w:val="27842671"/>
    <w:rsid w:val="29BA45AB"/>
    <w:rsid w:val="29FD04D3"/>
    <w:rsid w:val="2ABE7A3E"/>
    <w:rsid w:val="2B816796"/>
    <w:rsid w:val="2EB235E0"/>
    <w:rsid w:val="2EFA178C"/>
    <w:rsid w:val="30B46D73"/>
    <w:rsid w:val="319F7F4E"/>
    <w:rsid w:val="377F25D5"/>
    <w:rsid w:val="38CB3FE5"/>
    <w:rsid w:val="39AE70AB"/>
    <w:rsid w:val="39CB372D"/>
    <w:rsid w:val="3C0C0783"/>
    <w:rsid w:val="3F9F3A96"/>
    <w:rsid w:val="40450671"/>
    <w:rsid w:val="45422393"/>
    <w:rsid w:val="47AF6ABF"/>
    <w:rsid w:val="493C27E9"/>
    <w:rsid w:val="496F39ED"/>
    <w:rsid w:val="49FF41D3"/>
    <w:rsid w:val="4BE068DB"/>
    <w:rsid w:val="4BF6002B"/>
    <w:rsid w:val="4D477799"/>
    <w:rsid w:val="4ECE2238"/>
    <w:rsid w:val="51DB4B86"/>
    <w:rsid w:val="55333C3E"/>
    <w:rsid w:val="57CE2F91"/>
    <w:rsid w:val="58347290"/>
    <w:rsid w:val="5C837442"/>
    <w:rsid w:val="64CA39A1"/>
    <w:rsid w:val="6C4A05C8"/>
    <w:rsid w:val="6D650B6E"/>
    <w:rsid w:val="6EE51E0C"/>
    <w:rsid w:val="6F984E95"/>
    <w:rsid w:val="6F9C2DBF"/>
    <w:rsid w:val="7195241D"/>
    <w:rsid w:val="72734D90"/>
    <w:rsid w:val="740412AE"/>
    <w:rsid w:val="75423545"/>
    <w:rsid w:val="75ED7B95"/>
    <w:rsid w:val="79E7B28D"/>
    <w:rsid w:val="7D4519BB"/>
    <w:rsid w:val="7E5A4640"/>
    <w:rsid w:val="7F9F20EE"/>
    <w:rsid w:val="7FC9210C"/>
    <w:rsid w:val="9E3A10E2"/>
    <w:rsid w:val="F2E1F9D4"/>
    <w:rsid w:val="F78808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annotation text"/>
    <w:basedOn w:val="1"/>
    <w:semiHidden/>
    <w:unhideWhenUsed/>
    <w:uiPriority w:val="99"/>
    <w:pPr>
      <w:jc w:val="left"/>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8"/>
    <w:semiHidden/>
    <w:unhideWhenUsed/>
    <w:qFormat/>
    <w:uiPriority w:val="99"/>
    <w:rPr>
      <w:sz w:val="18"/>
      <w:szCs w:val="18"/>
    </w:rPr>
  </w:style>
  <w:style w:type="paragraph" w:styleId="9">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1">
    <w:name w:val="WPSOffice手动目录 1"/>
    <w:uiPriority w:val="0"/>
    <w:rPr>
      <w:rFonts w:asciiTheme="minorHAnsi" w:hAnsiTheme="minorHAnsi" w:eastAsiaTheme="minorEastAsia" w:cstheme="minorBidi"/>
      <w:lang w:val="en-US" w:eastAsia="zh-CN" w:bidi="ar-SA"/>
    </w:rPr>
  </w:style>
  <w:style w:type="paragraph" w:customStyle="1" w:styleId="32">
    <w:name w:val="WPSOffice手动目录 2"/>
    <w:qFormat/>
    <w:uiPriority w:val="0"/>
    <w:pPr>
      <w:ind w:left="200" w:leftChars="2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22</Pages>
  <Words>1481</Words>
  <Characters>8448</Characters>
  <Lines>70</Lines>
  <Paragraphs>19</Paragraphs>
  <TotalTime>1</TotalTime>
  <ScaleCrop>false</ScaleCrop>
  <LinksUpToDate>false</LinksUpToDate>
  <CharactersWithSpaces>9910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2022-09-13T02:32:00Z</dcterms:created>
  <dc:creator>曹颖</dc:creator>
  <cp:lastModifiedBy>Administrator</cp:lastModifiedBy>
  <cp:lastPrinted>2022-09-13T02:23:00Z</cp:lastPrinted>
  <dcterms:modified xsi:type="dcterms:W3CDTF">2023-09-28T08:30:00Z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40AFB60714184D0CB9014E3201B80D4B</vt:lpwstr>
  </property>
</Properties>
</file>