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colors5.xml" ContentType="application/vnd.ms-office.chartcolorstyle+xml"/>
  <Override PartName="/word/charts/colors6.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charts/style5.xml" ContentType="application/vnd.ms-office.chartstyle+xml"/>
  <Override PartName="/word/charts/style6.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theme/themeOverride1.xml" ContentType="application/vnd.openxmlformats-officedocument.themeOverride+xml"/>
  <Override PartName="/word/theme/themeOverride2.xml" ContentType="application/vnd.openxmlformats-officedocument.themeOverride+xml"/>
  <Override PartName="/word/theme/themeOverride3.xml" ContentType="application/vnd.openxmlformats-officedocument.themeOverride+xml"/>
  <Override PartName="/word/theme/themeOverride4.xml" ContentType="application/vnd.openxmlformats-officedocument.themeOverride+xml"/>
  <Override PartName="/word/theme/themeOverride5.xml" ContentType="application/vnd.openxmlformats-officedocument.themeOverride+xml"/>
  <Override PartName="/word/theme/themeOverride6.xml" ContentType="application/vnd.openxmlformats-officedocument.themeOverride+xml"/>
  <Override PartName="/word/theme/themeOverride7.xml" ContentType="application/vnd.openxmlformats-officedocument.themeOverrid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9B17316">
      <w:pPr>
        <w:pStyle w:val="5"/>
        <w:jc w:val="center"/>
        <w:rPr>
          <w:rFonts w:hint="eastAsia" w:ascii="Times New Roman" w:hAnsi="Times New Roman" w:eastAsia="方正小标宋简体" w:cs="Times New Roman"/>
          <w:color w:val="auto"/>
          <w:kern w:val="2"/>
          <w:sz w:val="44"/>
          <w:szCs w:val="44"/>
          <w:highlight w:val="none"/>
          <w:lang w:val="en-US" w:eastAsia="zh-CN" w:bidi="ar-SA"/>
        </w:rPr>
      </w:pPr>
      <w:bookmarkStart w:id="0" w:name="_Toc15377193"/>
      <w:bookmarkStart w:id="1" w:name="_Toc15377425"/>
      <w:bookmarkStart w:id="2" w:name="_Toc15396597"/>
      <w:bookmarkStart w:id="3" w:name="_Toc15306267"/>
      <w:bookmarkStart w:id="4" w:name="_Toc15378441"/>
      <w:bookmarkStart w:id="5" w:name="_Toc15396475"/>
    </w:p>
    <w:p w14:paraId="47B52513">
      <w:pPr>
        <w:pStyle w:val="5"/>
        <w:jc w:val="center"/>
        <w:rPr>
          <w:rFonts w:hint="eastAsia" w:ascii="Times New Roman" w:hAnsi="Times New Roman" w:eastAsia="方正小标宋简体" w:cs="Times New Roman"/>
          <w:color w:val="auto"/>
          <w:kern w:val="2"/>
          <w:sz w:val="44"/>
          <w:szCs w:val="44"/>
          <w:highlight w:val="none"/>
          <w:lang w:val="en-US" w:eastAsia="zh-CN" w:bidi="ar-SA"/>
        </w:rPr>
      </w:pPr>
    </w:p>
    <w:p w14:paraId="25610A5B">
      <w:pPr>
        <w:pStyle w:val="5"/>
        <w:jc w:val="center"/>
        <w:rPr>
          <w:rFonts w:hint="eastAsia" w:ascii="Times New Roman" w:hAnsi="Times New Roman" w:eastAsia="方正小标宋简体" w:cs="Times New Roman"/>
          <w:color w:val="auto"/>
          <w:kern w:val="2"/>
          <w:sz w:val="44"/>
          <w:szCs w:val="44"/>
          <w:highlight w:val="none"/>
          <w:lang w:val="en-US" w:eastAsia="zh-CN" w:bidi="ar-SA"/>
        </w:rPr>
      </w:pPr>
    </w:p>
    <w:bookmarkEnd w:id="0"/>
    <w:bookmarkEnd w:id="1"/>
    <w:bookmarkEnd w:id="2"/>
    <w:bookmarkEnd w:id="3"/>
    <w:bookmarkEnd w:id="4"/>
    <w:bookmarkEnd w:id="5"/>
    <w:p w14:paraId="052264FA">
      <w:pPr>
        <w:pStyle w:val="5"/>
        <w:jc w:val="center"/>
        <w:rPr>
          <w:rFonts w:hint="eastAsia" w:ascii="Times New Roman" w:hAnsi="Times New Roman" w:eastAsia="方正小标宋简体" w:cs="Times New Roman"/>
          <w:color w:val="auto"/>
          <w:kern w:val="2"/>
          <w:sz w:val="44"/>
          <w:szCs w:val="44"/>
          <w:highlight w:val="none"/>
          <w:lang w:val="en-US" w:eastAsia="zh-CN" w:bidi="ar-SA"/>
        </w:rPr>
      </w:pPr>
      <w:bookmarkStart w:id="6" w:name="_Toc15396476"/>
      <w:bookmarkStart w:id="7" w:name="_Toc15378442"/>
      <w:bookmarkStart w:id="8" w:name="_Toc15396598"/>
      <w:bookmarkStart w:id="9" w:name="_Toc15377194"/>
      <w:bookmarkStart w:id="10" w:name="_Toc15377426"/>
      <w:r>
        <w:rPr>
          <w:rFonts w:hint="eastAsia" w:ascii="Times New Roman" w:hAnsi="Times New Roman" w:eastAsia="方正小标宋简体" w:cs="Times New Roman"/>
          <w:color w:val="auto"/>
          <w:kern w:val="2"/>
          <w:sz w:val="44"/>
          <w:szCs w:val="44"/>
          <w:highlight w:val="none"/>
          <w:lang w:val="en-US" w:eastAsia="zh-CN" w:bidi="ar-SA"/>
        </w:rPr>
        <w:t>2024年度四川省</w:t>
      </w:r>
      <w:bookmarkStart w:id="11" w:name="_Toc15306268"/>
      <w:r>
        <w:rPr>
          <w:rFonts w:hint="eastAsia" w:ascii="方正小标宋简体" w:hAnsi="宋体" w:eastAsia="方正小标宋简体" w:cs="Times New Roman"/>
          <w:color w:val="auto"/>
          <w:kern w:val="2"/>
          <w:sz w:val="44"/>
          <w:szCs w:val="44"/>
          <w:highlight w:val="none"/>
          <w:lang w:val="en-US" w:eastAsia="zh-CN" w:bidi="ar-SA"/>
        </w:rPr>
        <w:t>攀枝花市社会保险事务中心</w:t>
      </w:r>
      <w:r>
        <w:rPr>
          <w:rFonts w:hint="eastAsia" w:ascii="Times New Roman" w:eastAsia="方正小标宋简体" w:cs="Times New Roman"/>
          <w:color w:val="auto"/>
          <w:kern w:val="2"/>
          <w:sz w:val="44"/>
          <w:szCs w:val="44"/>
          <w:highlight w:val="none"/>
          <w:lang w:val="en-US" w:eastAsia="zh-CN" w:bidi="ar-SA"/>
        </w:rPr>
        <w:t>单位</w:t>
      </w:r>
      <w:r>
        <w:rPr>
          <w:rFonts w:hint="eastAsia" w:ascii="Times New Roman" w:hAnsi="Times New Roman" w:eastAsia="方正小标宋简体" w:cs="Times New Roman"/>
          <w:color w:val="auto"/>
          <w:kern w:val="2"/>
          <w:sz w:val="44"/>
          <w:szCs w:val="44"/>
          <w:highlight w:val="none"/>
          <w:lang w:val="en-US" w:eastAsia="zh-CN" w:bidi="ar-SA"/>
        </w:rPr>
        <w:t>决算</w:t>
      </w:r>
      <w:bookmarkEnd w:id="6"/>
      <w:bookmarkEnd w:id="7"/>
      <w:bookmarkEnd w:id="8"/>
      <w:bookmarkEnd w:id="9"/>
      <w:bookmarkEnd w:id="10"/>
      <w:bookmarkEnd w:id="11"/>
    </w:p>
    <w:p w14:paraId="7AF97CE1">
      <w:pPr>
        <w:widowControl/>
        <w:jc w:val="center"/>
        <w:rPr>
          <w:rFonts w:ascii="Times New Roman" w:hAnsi="Times New Roman" w:eastAsia="黑体"/>
          <w:color w:val="auto"/>
          <w:sz w:val="48"/>
          <w:szCs w:val="48"/>
          <w:highlight w:val="none"/>
        </w:rPr>
      </w:pPr>
      <w:r>
        <w:rPr>
          <w:rFonts w:ascii="Times New Roman" w:hAnsi="Times New Roman" w:eastAsia="方正小标宋简体"/>
          <w:color w:val="auto"/>
          <w:sz w:val="36"/>
          <w:szCs w:val="36"/>
          <w:highlight w:val="none"/>
        </w:rPr>
        <w:br w:type="page"/>
      </w:r>
      <w:r>
        <w:rPr>
          <w:rFonts w:hint="eastAsia" w:ascii="方正小标宋_GBK" w:hAnsi="方正小标宋_GBK" w:eastAsia="方正小标宋_GBK" w:cs="方正小标宋_GBK"/>
          <w:color w:val="auto"/>
          <w:sz w:val="48"/>
          <w:szCs w:val="48"/>
          <w:highlight w:val="none"/>
        </w:rPr>
        <w:t>目录</w:t>
      </w:r>
    </w:p>
    <w:p w14:paraId="765D67C4">
      <w:pPr>
        <w:pStyle w:val="13"/>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rPr>
        <w:t>公开时间：20</w:t>
      </w:r>
      <w:r>
        <w:rPr>
          <w:rFonts w:hint="eastAsia" w:ascii="Times New Roman" w:hAnsi="Times New Roman" w:eastAsia="仿宋_GB2312" w:cs="仿宋_GB2312"/>
          <w:color w:val="auto"/>
          <w:sz w:val="32"/>
          <w:szCs w:val="32"/>
          <w:highlight w:val="none"/>
          <w:lang w:val="en-US" w:eastAsia="zh-CN"/>
        </w:rPr>
        <w:t>25</w:t>
      </w:r>
      <w:r>
        <w:rPr>
          <w:rFonts w:hint="eastAsia" w:ascii="Times New Roman" w:hAnsi="Times New Roman" w:eastAsia="仿宋_GB2312" w:cs="仿宋_GB2312"/>
          <w:color w:val="auto"/>
          <w:sz w:val="32"/>
          <w:szCs w:val="32"/>
          <w:highlight w:val="none"/>
        </w:rPr>
        <w:t>年</w:t>
      </w:r>
      <w:r>
        <w:rPr>
          <w:rFonts w:hint="eastAsia" w:ascii="Times New Roman" w:hAnsi="Times New Roman" w:eastAsia="仿宋_GB2312" w:cs="仿宋_GB2312"/>
          <w:color w:val="auto"/>
          <w:sz w:val="32"/>
          <w:szCs w:val="32"/>
          <w:highlight w:val="none"/>
          <w:lang w:val="en-US" w:eastAsia="zh-CN"/>
        </w:rPr>
        <w:t>9</w:t>
      </w:r>
      <w:r>
        <w:rPr>
          <w:rFonts w:hint="eastAsia" w:ascii="Times New Roman" w:hAnsi="Times New Roman" w:eastAsia="仿宋_GB2312" w:cs="仿宋_GB2312"/>
          <w:color w:val="auto"/>
          <w:sz w:val="32"/>
          <w:szCs w:val="32"/>
          <w:highlight w:val="none"/>
        </w:rPr>
        <w:t>月</w:t>
      </w:r>
      <w:r>
        <w:rPr>
          <w:rFonts w:hint="eastAsia" w:ascii="Times New Roman" w:hAnsi="Times New Roman" w:eastAsia="仿宋_GB2312" w:cs="仿宋_GB2312"/>
          <w:color w:val="auto"/>
          <w:sz w:val="32"/>
          <w:szCs w:val="32"/>
          <w:highlight w:val="none"/>
          <w:lang w:val="en-US" w:eastAsia="zh-CN"/>
        </w:rPr>
        <w:t>11</w:t>
      </w:r>
      <w:bookmarkStart w:id="68" w:name="_GoBack"/>
      <w:bookmarkEnd w:id="68"/>
      <w:r>
        <w:rPr>
          <w:rFonts w:hint="eastAsia" w:ascii="Times New Roman" w:hAnsi="Times New Roman" w:eastAsia="仿宋_GB2312" w:cs="仿宋_GB2312"/>
          <w:color w:val="auto"/>
          <w:sz w:val="32"/>
          <w:szCs w:val="32"/>
          <w:highlight w:val="none"/>
        </w:rPr>
        <w:t>日</w:t>
      </w:r>
    </w:p>
    <w:p w14:paraId="48EBBA49">
      <w:pPr>
        <w:rPr>
          <w:rFonts w:ascii="Times New Roman" w:hAnsi="Times New Roman"/>
          <w:color w:val="auto"/>
          <w:highlight w:val="none"/>
        </w:rPr>
      </w:pPr>
    </w:p>
    <w:p w14:paraId="43F418EE">
      <w:pPr>
        <w:pStyle w:val="13"/>
        <w:adjustRightInd w:val="0"/>
        <w:snapToGrid w:val="0"/>
        <w:spacing w:before="0" w:line="440" w:lineRule="exact"/>
        <w:jc w:val="left"/>
        <w:rPr>
          <w:rFonts w:cs="Times New Roman"/>
          <w:color w:val="auto"/>
          <w:sz w:val="24"/>
          <w:szCs w:val="24"/>
          <w:highlight w:val="none"/>
        </w:rPr>
      </w:pPr>
      <w:r>
        <w:rPr>
          <w:rFonts w:hint="eastAsia" w:ascii="Times New Roman" w:hAnsi="Times New Roman" w:eastAsia="黑体" w:cs="黑体"/>
          <w:color w:val="auto"/>
          <w:sz w:val="32"/>
          <w:szCs w:val="32"/>
          <w:highlight w:val="none"/>
        </w:rPr>
        <w:t>第一部分 部门概况</w:t>
      </w:r>
      <w:r>
        <w:rPr>
          <w:rFonts w:hint="default" w:ascii="Times New Roman" w:hAnsi="Times New Roman" w:cs="Times New Roman"/>
          <w:color w:val="auto"/>
          <w:sz w:val="24"/>
          <w:szCs w:val="24"/>
        </w:rPr>
        <w:tab/>
      </w:r>
      <w:r>
        <w:rPr>
          <w:rFonts w:hint="default" w:ascii="Times New Roman" w:hAnsi="Times New Roman" w:cs="Times New Roman"/>
          <w:color w:val="auto"/>
          <w:sz w:val="24"/>
          <w:szCs w:val="24"/>
          <w:lang w:val="en-US" w:eastAsia="zh-CN"/>
        </w:rPr>
        <w:t>4</w:t>
      </w:r>
    </w:p>
    <w:p w14:paraId="553EA08A">
      <w:pPr>
        <w:pStyle w:val="15"/>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left"/>
        <w:textAlignment w:val="auto"/>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rPr>
        <w:t>一、</w:t>
      </w:r>
      <w:r>
        <w:rPr>
          <w:rFonts w:hint="eastAsia" w:ascii="Times New Roman" w:hAnsi="Times New Roman" w:eastAsia="仿宋_GB2312" w:cs="仿宋_GB2312"/>
          <w:color w:val="auto"/>
          <w:sz w:val="32"/>
          <w:szCs w:val="32"/>
          <w:highlight w:val="none"/>
          <w:lang w:eastAsia="zh-CN"/>
        </w:rPr>
        <w:t>部门职责</w:t>
      </w:r>
      <w:r>
        <w:rPr>
          <w:rFonts w:hint="default" w:ascii="Times New Roman" w:hAnsi="Times New Roman" w:cs="Times New Roman"/>
          <w:color w:val="auto"/>
          <w:sz w:val="24"/>
          <w:szCs w:val="24"/>
        </w:rPr>
        <w:tab/>
      </w:r>
      <w:r>
        <w:rPr>
          <w:rFonts w:hint="default" w:ascii="Times New Roman" w:hAnsi="Times New Roman" w:cs="Times New Roman"/>
          <w:color w:val="auto"/>
          <w:sz w:val="24"/>
          <w:szCs w:val="24"/>
          <w:lang w:val="en-US" w:eastAsia="zh-CN"/>
        </w:rPr>
        <w:t>4</w:t>
      </w:r>
    </w:p>
    <w:p w14:paraId="18E5A3C4">
      <w:pPr>
        <w:pStyle w:val="15"/>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left"/>
        <w:textAlignment w:val="auto"/>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rPr>
        <w:t>二、机构设置</w:t>
      </w:r>
      <w:r>
        <w:rPr>
          <w:rFonts w:hint="default" w:ascii="Times New Roman" w:hAnsi="Times New Roman" w:cs="Times New Roman"/>
          <w:color w:val="auto"/>
          <w:sz w:val="24"/>
          <w:szCs w:val="24"/>
        </w:rPr>
        <w:tab/>
      </w:r>
      <w:r>
        <w:rPr>
          <w:rFonts w:hint="default" w:ascii="Times New Roman" w:hAnsi="Times New Roman" w:cs="Times New Roman"/>
          <w:color w:val="auto"/>
          <w:sz w:val="24"/>
          <w:szCs w:val="24"/>
          <w:lang w:val="en-US" w:eastAsia="zh-CN"/>
        </w:rPr>
        <w:t>4</w:t>
      </w:r>
    </w:p>
    <w:p w14:paraId="2D5C7934">
      <w:pPr>
        <w:pStyle w:val="13"/>
        <w:keepNext w:val="0"/>
        <w:keepLines w:val="0"/>
        <w:pageBreakBefore w:val="0"/>
        <w:kinsoku/>
        <w:wordWrap/>
        <w:overflowPunct/>
        <w:topLinePunct w:val="0"/>
        <w:autoSpaceDE/>
        <w:autoSpaceDN/>
        <w:bidi w:val="0"/>
        <w:adjustRightInd w:val="0"/>
        <w:snapToGrid w:val="0"/>
        <w:spacing w:before="0" w:line="560" w:lineRule="exact"/>
        <w:jc w:val="left"/>
        <w:textAlignment w:val="auto"/>
        <w:rPr>
          <w:rFonts w:hint="eastAsia" w:ascii="Times New Roman" w:hAnsi="Times New Roman" w:eastAsia="黑体" w:cs="黑体"/>
          <w:color w:val="auto"/>
          <w:sz w:val="32"/>
          <w:szCs w:val="32"/>
          <w:highlight w:val="none"/>
        </w:rPr>
      </w:pPr>
      <w:r>
        <w:rPr>
          <w:rFonts w:hint="eastAsia" w:ascii="Times New Roman" w:hAnsi="Times New Roman" w:eastAsia="黑体" w:cs="黑体"/>
          <w:color w:val="auto"/>
          <w:sz w:val="32"/>
          <w:szCs w:val="32"/>
          <w:highlight w:val="none"/>
        </w:rPr>
        <w:t>第二部分</w:t>
      </w:r>
      <w:r>
        <w:rPr>
          <w:rFonts w:hint="eastAsia" w:ascii="Times New Roman" w:hAnsi="Times New Roman" w:eastAsia="黑体" w:cs="黑体"/>
          <w:color w:val="auto"/>
          <w:sz w:val="32"/>
          <w:szCs w:val="32"/>
          <w:highlight w:val="none"/>
          <w:lang w:val="en-US" w:eastAsia="zh-CN"/>
        </w:rPr>
        <w:t xml:space="preserve"> 2024年度</w:t>
      </w:r>
      <w:r>
        <w:rPr>
          <w:rFonts w:hint="eastAsia" w:ascii="Times New Roman" w:hAnsi="Times New Roman" w:eastAsia="黑体" w:cs="黑体"/>
          <w:color w:val="auto"/>
          <w:sz w:val="32"/>
          <w:szCs w:val="32"/>
          <w:highlight w:val="none"/>
        </w:rPr>
        <w:t>部门决算情况说明</w:t>
      </w:r>
      <w:r>
        <w:rPr>
          <w:rFonts w:hint="default" w:ascii="Times New Roman" w:hAnsi="Times New Roman" w:cs="Times New Roman"/>
          <w:color w:val="auto"/>
          <w:sz w:val="24"/>
          <w:szCs w:val="24"/>
        </w:rPr>
        <w:tab/>
      </w:r>
      <w:r>
        <w:rPr>
          <w:rFonts w:hint="eastAsia" w:ascii="Times New Roman" w:hAnsi="Times New Roman" w:cs="Times New Roman"/>
          <w:color w:val="auto"/>
          <w:sz w:val="24"/>
          <w:szCs w:val="24"/>
          <w:lang w:val="en-US" w:eastAsia="zh-CN"/>
        </w:rPr>
        <w:t>5</w:t>
      </w:r>
    </w:p>
    <w:p w14:paraId="51458783">
      <w:pPr>
        <w:pStyle w:val="15"/>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left"/>
        <w:textAlignment w:val="auto"/>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rPr>
        <w:t>一、收入支出决算总体情况说明</w:t>
      </w:r>
      <w:r>
        <w:rPr>
          <w:rFonts w:hint="default" w:ascii="Times New Roman" w:hAnsi="Times New Roman" w:cs="Times New Roman"/>
          <w:color w:val="auto"/>
          <w:sz w:val="24"/>
          <w:szCs w:val="24"/>
        </w:rPr>
        <w:tab/>
      </w:r>
      <w:r>
        <w:rPr>
          <w:rFonts w:hint="eastAsia" w:cs="Times New Roman"/>
          <w:color w:val="auto"/>
          <w:sz w:val="24"/>
          <w:szCs w:val="24"/>
          <w:lang w:val="en-US" w:eastAsia="zh-CN"/>
        </w:rPr>
        <w:t>5</w:t>
      </w:r>
    </w:p>
    <w:p w14:paraId="0FFF40D0">
      <w:pPr>
        <w:pStyle w:val="15"/>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left"/>
        <w:textAlignment w:val="auto"/>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rPr>
        <w:t>二、收入决算情况说明</w:t>
      </w:r>
      <w:r>
        <w:rPr>
          <w:rFonts w:hint="default" w:ascii="Times New Roman" w:hAnsi="Times New Roman" w:cs="Times New Roman"/>
          <w:color w:val="auto"/>
          <w:sz w:val="24"/>
          <w:szCs w:val="24"/>
        </w:rPr>
        <w:tab/>
      </w:r>
      <w:r>
        <w:rPr>
          <w:rFonts w:hint="eastAsia" w:cs="Times New Roman"/>
          <w:color w:val="auto"/>
          <w:sz w:val="24"/>
          <w:szCs w:val="24"/>
          <w:lang w:val="en-US" w:eastAsia="zh-CN"/>
        </w:rPr>
        <w:t>5</w:t>
      </w:r>
    </w:p>
    <w:p w14:paraId="3C3CD7D2">
      <w:pPr>
        <w:pStyle w:val="15"/>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left"/>
        <w:textAlignment w:val="auto"/>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rPr>
        <w:t>三、支出决算情况说明</w:t>
      </w:r>
      <w:r>
        <w:rPr>
          <w:rFonts w:hint="default" w:ascii="Times New Roman" w:hAnsi="Times New Roman" w:cs="Times New Roman"/>
          <w:color w:val="auto"/>
          <w:sz w:val="24"/>
          <w:szCs w:val="24"/>
        </w:rPr>
        <w:tab/>
      </w:r>
      <w:r>
        <w:rPr>
          <w:rFonts w:hint="eastAsia" w:cs="Times New Roman"/>
          <w:color w:val="auto"/>
          <w:sz w:val="24"/>
          <w:szCs w:val="24"/>
          <w:lang w:val="en-US" w:eastAsia="zh-CN"/>
        </w:rPr>
        <w:t>6</w:t>
      </w:r>
    </w:p>
    <w:p w14:paraId="19F0F10C">
      <w:pPr>
        <w:pStyle w:val="15"/>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left"/>
        <w:textAlignment w:val="auto"/>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rPr>
        <w:t>四、财政拨款收入支出决算总体情况说明</w:t>
      </w:r>
      <w:r>
        <w:rPr>
          <w:rFonts w:hint="default" w:ascii="Times New Roman" w:hAnsi="Times New Roman" w:cs="Times New Roman"/>
          <w:color w:val="auto"/>
          <w:sz w:val="24"/>
          <w:szCs w:val="24"/>
        </w:rPr>
        <w:tab/>
      </w:r>
      <w:r>
        <w:rPr>
          <w:rFonts w:hint="eastAsia" w:cs="Times New Roman"/>
          <w:color w:val="auto"/>
          <w:sz w:val="24"/>
          <w:szCs w:val="24"/>
          <w:lang w:val="en-US" w:eastAsia="zh-CN"/>
        </w:rPr>
        <w:t>6</w:t>
      </w:r>
    </w:p>
    <w:p w14:paraId="355E33B1">
      <w:pPr>
        <w:pStyle w:val="15"/>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left"/>
        <w:textAlignment w:val="auto"/>
        <w:rPr>
          <w:rFonts w:hint="default" w:ascii="Times New Roman" w:hAnsi="Times New Roman" w:eastAsia="仿宋_GB2312" w:cs="仿宋_GB2312"/>
          <w:color w:val="auto"/>
          <w:sz w:val="32"/>
          <w:szCs w:val="32"/>
          <w:highlight w:val="none"/>
          <w:lang w:val="en-US"/>
        </w:rPr>
      </w:pPr>
      <w:r>
        <w:rPr>
          <w:rFonts w:hint="eastAsia" w:ascii="Times New Roman" w:hAnsi="Times New Roman" w:eastAsia="仿宋_GB2312" w:cs="仿宋_GB2312"/>
          <w:color w:val="auto"/>
          <w:sz w:val="32"/>
          <w:szCs w:val="32"/>
          <w:highlight w:val="none"/>
        </w:rPr>
        <w:t>五、一般公共预算财政拨款支出决算情况说明</w:t>
      </w:r>
      <w:r>
        <w:rPr>
          <w:rFonts w:hint="default" w:ascii="Times New Roman" w:hAnsi="Times New Roman" w:cs="Times New Roman"/>
          <w:color w:val="auto"/>
          <w:sz w:val="24"/>
          <w:szCs w:val="24"/>
        </w:rPr>
        <w:tab/>
      </w:r>
      <w:r>
        <w:rPr>
          <w:rFonts w:hint="eastAsia" w:cs="Times New Roman"/>
          <w:color w:val="auto"/>
          <w:sz w:val="24"/>
          <w:szCs w:val="24"/>
          <w:lang w:val="en-US" w:eastAsia="zh-CN"/>
        </w:rPr>
        <w:t>7</w:t>
      </w:r>
    </w:p>
    <w:p w14:paraId="616088BA">
      <w:pPr>
        <w:pStyle w:val="15"/>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left"/>
        <w:textAlignment w:val="auto"/>
        <w:rPr>
          <w:rFonts w:hint="default" w:ascii="Times New Roman" w:hAnsi="Times New Roman" w:eastAsia="仿宋_GB2312" w:cs="仿宋_GB2312"/>
          <w:color w:val="auto"/>
          <w:sz w:val="32"/>
          <w:szCs w:val="32"/>
          <w:highlight w:val="none"/>
          <w:lang w:val="en-US"/>
        </w:rPr>
      </w:pPr>
      <w:r>
        <w:rPr>
          <w:rFonts w:hint="eastAsia" w:ascii="Times New Roman" w:hAnsi="Times New Roman" w:eastAsia="仿宋_GB2312" w:cs="仿宋_GB2312"/>
          <w:color w:val="auto"/>
          <w:sz w:val="32"/>
          <w:szCs w:val="32"/>
          <w:highlight w:val="none"/>
        </w:rPr>
        <w:t>六、一般公共预算财政拨款基本支出决算情况说明</w:t>
      </w:r>
      <w:r>
        <w:rPr>
          <w:rFonts w:hint="default" w:ascii="Times New Roman" w:hAnsi="Times New Roman" w:cs="Times New Roman"/>
          <w:color w:val="auto"/>
          <w:sz w:val="24"/>
          <w:szCs w:val="24"/>
        </w:rPr>
        <w:tab/>
      </w:r>
      <w:r>
        <w:rPr>
          <w:rFonts w:hint="eastAsia" w:cs="Times New Roman"/>
          <w:color w:val="auto"/>
          <w:sz w:val="24"/>
          <w:szCs w:val="24"/>
          <w:lang w:val="en-US" w:eastAsia="zh-CN"/>
        </w:rPr>
        <w:t>10</w:t>
      </w:r>
    </w:p>
    <w:p w14:paraId="762BE706">
      <w:pPr>
        <w:pStyle w:val="15"/>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left"/>
        <w:textAlignment w:val="auto"/>
        <w:rPr>
          <w:rFonts w:hint="default" w:ascii="Times New Roman" w:hAnsi="Times New Roman" w:eastAsia="仿宋_GB2312" w:cs="仿宋_GB2312"/>
          <w:color w:val="auto"/>
          <w:sz w:val="32"/>
          <w:szCs w:val="32"/>
          <w:highlight w:val="none"/>
          <w:lang w:val="en-US"/>
        </w:rPr>
      </w:pPr>
      <w:r>
        <w:rPr>
          <w:rFonts w:hint="eastAsia" w:ascii="Times New Roman" w:hAnsi="Times New Roman" w:eastAsia="仿宋_GB2312" w:cs="仿宋_GB2312"/>
          <w:color w:val="auto"/>
          <w:sz w:val="32"/>
          <w:szCs w:val="32"/>
          <w:highlight w:val="none"/>
        </w:rPr>
        <w:t>七、财政拨款</w:t>
      </w:r>
      <w:r>
        <w:rPr>
          <w:rFonts w:hint="eastAsia" w:ascii="Times New Roman" w:hAnsi="Times New Roman" w:eastAsia="仿宋_GB2312" w:cs="仿宋_GB2312"/>
          <w:color w:val="auto"/>
          <w:sz w:val="32"/>
          <w:szCs w:val="32"/>
          <w:highlight w:val="none"/>
          <w:lang w:eastAsia="zh-CN"/>
        </w:rPr>
        <w:t>“</w:t>
      </w:r>
      <w:r>
        <w:rPr>
          <w:rFonts w:hint="eastAsia" w:ascii="Times New Roman" w:hAnsi="Times New Roman" w:eastAsia="仿宋_GB2312" w:cs="仿宋_GB2312"/>
          <w:color w:val="auto"/>
          <w:sz w:val="32"/>
          <w:szCs w:val="32"/>
          <w:highlight w:val="none"/>
        </w:rPr>
        <w:t>三公”经费支出决算情况说明</w:t>
      </w:r>
      <w:r>
        <w:rPr>
          <w:rFonts w:hint="default" w:ascii="Times New Roman" w:hAnsi="Times New Roman" w:cs="Times New Roman"/>
          <w:color w:val="auto"/>
          <w:sz w:val="24"/>
          <w:szCs w:val="24"/>
        </w:rPr>
        <w:tab/>
      </w:r>
      <w:r>
        <w:rPr>
          <w:rFonts w:hint="eastAsia" w:cs="Times New Roman"/>
          <w:color w:val="auto"/>
          <w:sz w:val="24"/>
          <w:szCs w:val="24"/>
          <w:lang w:val="en-US" w:eastAsia="zh-CN"/>
        </w:rPr>
        <w:t>10</w:t>
      </w:r>
    </w:p>
    <w:p w14:paraId="6E1CB53A">
      <w:pPr>
        <w:pStyle w:val="15"/>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left"/>
        <w:textAlignment w:val="auto"/>
        <w:rPr>
          <w:rFonts w:hint="default" w:ascii="Times New Roman" w:hAnsi="Times New Roman" w:eastAsia="仿宋_GB2312" w:cs="仿宋_GB2312"/>
          <w:color w:val="auto"/>
          <w:sz w:val="32"/>
          <w:szCs w:val="32"/>
          <w:highlight w:val="none"/>
          <w:lang w:val="en-US"/>
        </w:rPr>
      </w:pPr>
      <w:r>
        <w:rPr>
          <w:rFonts w:hint="eastAsia" w:ascii="Times New Roman" w:hAnsi="Times New Roman" w:eastAsia="仿宋_GB2312" w:cs="仿宋_GB2312"/>
          <w:color w:val="auto"/>
          <w:sz w:val="32"/>
          <w:szCs w:val="32"/>
          <w:highlight w:val="none"/>
        </w:rPr>
        <w:t>八、政府性基金预算支出决算情况说明</w:t>
      </w:r>
      <w:r>
        <w:rPr>
          <w:rFonts w:hint="default" w:ascii="Times New Roman" w:hAnsi="Times New Roman" w:cs="Times New Roman"/>
          <w:color w:val="auto"/>
          <w:sz w:val="24"/>
          <w:szCs w:val="24"/>
        </w:rPr>
        <w:tab/>
      </w:r>
      <w:r>
        <w:rPr>
          <w:rFonts w:hint="eastAsia" w:cs="Times New Roman"/>
          <w:color w:val="auto"/>
          <w:sz w:val="24"/>
          <w:szCs w:val="24"/>
          <w:lang w:val="en-US" w:eastAsia="zh-CN"/>
        </w:rPr>
        <w:t>13</w:t>
      </w:r>
    </w:p>
    <w:p w14:paraId="6E62BC69">
      <w:pPr>
        <w:pStyle w:val="15"/>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left"/>
        <w:textAlignment w:val="auto"/>
        <w:rPr>
          <w:rFonts w:hint="default" w:ascii="Times New Roman" w:hAnsi="Times New Roman" w:eastAsia="仿宋_GB2312" w:cs="仿宋_GB2312"/>
          <w:color w:val="auto"/>
          <w:sz w:val="32"/>
          <w:szCs w:val="32"/>
          <w:highlight w:val="none"/>
          <w:lang w:val="en-US"/>
        </w:rPr>
      </w:pPr>
      <w:r>
        <w:rPr>
          <w:rFonts w:hint="eastAsia" w:ascii="Times New Roman" w:hAnsi="Times New Roman" w:eastAsia="仿宋_GB2312" w:cs="仿宋_GB2312"/>
          <w:color w:val="auto"/>
          <w:sz w:val="32"/>
          <w:szCs w:val="32"/>
          <w:highlight w:val="none"/>
        </w:rPr>
        <w:t>九、</w:t>
      </w:r>
      <w:r>
        <w:rPr>
          <w:rFonts w:hint="eastAsia" w:ascii="Times New Roman" w:hAnsi="Times New Roman" w:eastAsia="仿宋_GB2312" w:cs="仿宋_GB2312"/>
          <w:color w:val="auto"/>
          <w:sz w:val="32"/>
          <w:szCs w:val="32"/>
          <w:highlight w:val="none"/>
          <w:lang w:eastAsia="zh-CN"/>
        </w:rPr>
        <w:t>国</w:t>
      </w:r>
      <w:r>
        <w:rPr>
          <w:rFonts w:hint="eastAsia" w:ascii="Times New Roman" w:hAnsi="Times New Roman" w:eastAsia="仿宋_GB2312" w:cs="仿宋_GB2312"/>
          <w:color w:val="auto"/>
          <w:sz w:val="32"/>
          <w:szCs w:val="32"/>
          <w:highlight w:val="none"/>
        </w:rPr>
        <w:t>有资本经营预算支出决算情况说明</w:t>
      </w:r>
      <w:r>
        <w:rPr>
          <w:rFonts w:hint="default" w:ascii="Times New Roman" w:hAnsi="Times New Roman" w:cs="Times New Roman"/>
          <w:color w:val="auto"/>
          <w:sz w:val="24"/>
          <w:szCs w:val="24"/>
        </w:rPr>
        <w:tab/>
      </w:r>
      <w:r>
        <w:rPr>
          <w:rFonts w:hint="eastAsia" w:cs="Times New Roman"/>
          <w:color w:val="auto"/>
          <w:sz w:val="24"/>
          <w:szCs w:val="24"/>
          <w:lang w:val="en-US" w:eastAsia="zh-CN"/>
        </w:rPr>
        <w:t>13</w:t>
      </w:r>
    </w:p>
    <w:p w14:paraId="641EF5B1">
      <w:pPr>
        <w:pStyle w:val="15"/>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left"/>
        <w:textAlignment w:val="auto"/>
        <w:rPr>
          <w:rFonts w:hint="default" w:ascii="Times New Roman" w:hAnsi="Times New Roman" w:eastAsia="仿宋_GB2312" w:cs="仿宋_GB2312"/>
          <w:color w:val="auto"/>
          <w:sz w:val="32"/>
          <w:szCs w:val="32"/>
          <w:highlight w:val="none"/>
          <w:lang w:val="en-US"/>
        </w:rPr>
      </w:pPr>
      <w:r>
        <w:rPr>
          <w:rFonts w:hint="eastAsia" w:ascii="Times New Roman" w:hAnsi="Times New Roman" w:eastAsia="仿宋_GB2312" w:cs="仿宋_GB2312"/>
          <w:color w:val="auto"/>
          <w:sz w:val="32"/>
          <w:szCs w:val="32"/>
          <w:highlight w:val="none"/>
          <w:lang w:eastAsia="zh-CN"/>
        </w:rPr>
        <w:t>十</w:t>
      </w:r>
      <w:r>
        <w:rPr>
          <w:rFonts w:hint="eastAsia" w:ascii="Times New Roman" w:hAnsi="Times New Roman" w:eastAsia="仿宋_GB2312" w:cs="仿宋_GB2312"/>
          <w:color w:val="auto"/>
          <w:sz w:val="32"/>
          <w:szCs w:val="32"/>
          <w:highlight w:val="none"/>
        </w:rPr>
        <w:t>、其他重要事项的情况说明</w:t>
      </w:r>
      <w:r>
        <w:rPr>
          <w:rFonts w:hint="default" w:ascii="Times New Roman" w:hAnsi="Times New Roman" w:cs="Times New Roman"/>
          <w:color w:val="auto"/>
          <w:sz w:val="24"/>
          <w:szCs w:val="24"/>
        </w:rPr>
        <w:tab/>
      </w:r>
      <w:r>
        <w:rPr>
          <w:rFonts w:hint="eastAsia" w:cs="Times New Roman"/>
          <w:color w:val="auto"/>
          <w:sz w:val="24"/>
          <w:szCs w:val="24"/>
          <w:lang w:val="en-US" w:eastAsia="zh-CN"/>
        </w:rPr>
        <w:t>13</w:t>
      </w:r>
    </w:p>
    <w:p w14:paraId="127D927C">
      <w:pPr>
        <w:pStyle w:val="13"/>
        <w:keepNext w:val="0"/>
        <w:keepLines w:val="0"/>
        <w:pageBreakBefore w:val="0"/>
        <w:kinsoku/>
        <w:wordWrap/>
        <w:overflowPunct/>
        <w:topLinePunct w:val="0"/>
        <w:autoSpaceDE/>
        <w:autoSpaceDN/>
        <w:bidi w:val="0"/>
        <w:adjustRightInd w:val="0"/>
        <w:snapToGrid w:val="0"/>
        <w:spacing w:before="0" w:line="560" w:lineRule="exact"/>
        <w:jc w:val="left"/>
        <w:textAlignment w:val="auto"/>
        <w:rPr>
          <w:rFonts w:hint="default" w:ascii="Times New Roman" w:hAnsi="Times New Roman" w:eastAsia="黑体" w:cs="黑体"/>
          <w:color w:val="auto"/>
          <w:sz w:val="32"/>
          <w:szCs w:val="32"/>
          <w:highlight w:val="none"/>
          <w:lang w:val="en-US"/>
        </w:rPr>
      </w:pPr>
      <w:r>
        <w:rPr>
          <w:rFonts w:hint="eastAsia" w:ascii="Times New Roman" w:hAnsi="Times New Roman" w:eastAsia="黑体" w:cs="黑体"/>
          <w:color w:val="auto"/>
          <w:sz w:val="32"/>
          <w:szCs w:val="32"/>
          <w:highlight w:val="none"/>
        </w:rPr>
        <w:t>第三部分 名词解释</w:t>
      </w:r>
      <w:r>
        <w:rPr>
          <w:rFonts w:hint="default" w:ascii="Times New Roman" w:hAnsi="Times New Roman" w:cs="Times New Roman"/>
          <w:color w:val="auto"/>
          <w:sz w:val="24"/>
          <w:szCs w:val="24"/>
        </w:rPr>
        <w:tab/>
      </w:r>
      <w:r>
        <w:rPr>
          <w:rFonts w:hint="eastAsia" w:ascii="Times New Roman" w:hAnsi="Times New Roman" w:cs="Times New Roman"/>
          <w:color w:val="auto"/>
          <w:sz w:val="24"/>
          <w:szCs w:val="24"/>
          <w:lang w:val="en-US" w:eastAsia="zh-CN"/>
        </w:rPr>
        <w:t>16</w:t>
      </w:r>
    </w:p>
    <w:p w14:paraId="3CF0EA1D">
      <w:pPr>
        <w:pStyle w:val="13"/>
        <w:keepNext w:val="0"/>
        <w:keepLines w:val="0"/>
        <w:pageBreakBefore w:val="0"/>
        <w:kinsoku/>
        <w:wordWrap/>
        <w:overflowPunct/>
        <w:topLinePunct w:val="0"/>
        <w:autoSpaceDE/>
        <w:autoSpaceDN/>
        <w:bidi w:val="0"/>
        <w:adjustRightInd w:val="0"/>
        <w:snapToGrid w:val="0"/>
        <w:spacing w:before="0" w:line="560" w:lineRule="exact"/>
        <w:jc w:val="left"/>
        <w:textAlignment w:val="auto"/>
        <w:rPr>
          <w:rFonts w:hint="default" w:ascii="Times New Roman" w:hAnsi="Times New Roman" w:eastAsia="黑体" w:cs="黑体"/>
          <w:color w:val="auto"/>
          <w:sz w:val="32"/>
          <w:szCs w:val="32"/>
          <w:highlight w:val="none"/>
          <w:lang w:val="en-US"/>
        </w:rPr>
      </w:pPr>
      <w:r>
        <w:rPr>
          <w:rFonts w:hint="eastAsia" w:ascii="Times New Roman" w:hAnsi="Times New Roman" w:eastAsia="黑体" w:cs="黑体"/>
          <w:color w:val="auto"/>
          <w:sz w:val="32"/>
          <w:szCs w:val="32"/>
          <w:highlight w:val="none"/>
        </w:rPr>
        <w:t>第四部分 附件</w:t>
      </w:r>
      <w:r>
        <w:rPr>
          <w:rFonts w:hint="default" w:ascii="Times New Roman" w:hAnsi="Times New Roman" w:cs="Times New Roman"/>
          <w:color w:val="auto"/>
          <w:sz w:val="24"/>
          <w:szCs w:val="24"/>
        </w:rPr>
        <w:tab/>
      </w:r>
      <w:r>
        <w:rPr>
          <w:rFonts w:hint="eastAsia" w:ascii="Times New Roman" w:hAnsi="Times New Roman" w:cs="Times New Roman"/>
          <w:color w:val="auto"/>
          <w:sz w:val="24"/>
          <w:szCs w:val="24"/>
          <w:lang w:val="en-US" w:eastAsia="zh-CN"/>
        </w:rPr>
        <w:t>20</w:t>
      </w:r>
    </w:p>
    <w:p w14:paraId="3FA29FC8">
      <w:pPr>
        <w:pStyle w:val="13"/>
        <w:keepNext w:val="0"/>
        <w:keepLines w:val="0"/>
        <w:pageBreakBefore w:val="0"/>
        <w:kinsoku/>
        <w:wordWrap/>
        <w:overflowPunct/>
        <w:topLinePunct w:val="0"/>
        <w:autoSpaceDE/>
        <w:autoSpaceDN/>
        <w:bidi w:val="0"/>
        <w:adjustRightInd w:val="0"/>
        <w:snapToGrid w:val="0"/>
        <w:spacing w:before="0" w:line="560" w:lineRule="exact"/>
        <w:jc w:val="left"/>
        <w:textAlignment w:val="auto"/>
        <w:rPr>
          <w:rFonts w:hint="default" w:ascii="Times New Roman" w:hAnsi="Times New Roman" w:eastAsia="黑体" w:cs="黑体"/>
          <w:color w:val="auto"/>
          <w:sz w:val="32"/>
          <w:szCs w:val="32"/>
          <w:highlight w:val="none"/>
          <w:lang w:val="en-US"/>
        </w:rPr>
      </w:pPr>
      <w:r>
        <w:rPr>
          <w:rFonts w:hint="eastAsia" w:ascii="Times New Roman" w:hAnsi="Times New Roman" w:eastAsia="黑体" w:cs="黑体"/>
          <w:color w:val="auto"/>
          <w:sz w:val="32"/>
          <w:szCs w:val="32"/>
          <w:highlight w:val="none"/>
        </w:rPr>
        <w:t>第五部分 附表</w:t>
      </w:r>
      <w:r>
        <w:rPr>
          <w:rFonts w:hint="default" w:ascii="Times New Roman" w:hAnsi="Times New Roman" w:cs="Times New Roman"/>
          <w:color w:val="auto"/>
          <w:sz w:val="24"/>
          <w:szCs w:val="24"/>
        </w:rPr>
        <w:tab/>
      </w:r>
      <w:r>
        <w:rPr>
          <w:rFonts w:hint="eastAsia" w:ascii="Times New Roman" w:hAnsi="Times New Roman" w:cs="Times New Roman"/>
          <w:color w:val="auto"/>
          <w:sz w:val="24"/>
          <w:szCs w:val="24"/>
          <w:lang w:val="en-US" w:eastAsia="zh-CN"/>
        </w:rPr>
        <w:t>55</w:t>
      </w:r>
    </w:p>
    <w:p w14:paraId="21719E51">
      <w:pPr>
        <w:pStyle w:val="15"/>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left"/>
        <w:textAlignment w:val="auto"/>
        <w:rPr>
          <w:rFonts w:hint="default" w:ascii="Times New Roman" w:hAnsi="Times New Roman" w:eastAsia="仿宋_GB2312" w:cs="仿宋_GB2312"/>
          <w:color w:val="auto"/>
          <w:sz w:val="32"/>
          <w:szCs w:val="32"/>
          <w:highlight w:val="none"/>
          <w:lang w:val="en-US"/>
        </w:rPr>
      </w:pPr>
      <w:r>
        <w:rPr>
          <w:rFonts w:hint="eastAsia" w:ascii="Times New Roman" w:hAnsi="Times New Roman" w:eastAsia="仿宋_GB2312" w:cs="仿宋_GB2312"/>
          <w:color w:val="auto"/>
          <w:sz w:val="32"/>
          <w:szCs w:val="32"/>
          <w:highlight w:val="none"/>
        </w:rPr>
        <w:t>一、收入支出决算总表</w:t>
      </w:r>
      <w:r>
        <w:rPr>
          <w:rFonts w:hint="default" w:ascii="Times New Roman" w:hAnsi="Times New Roman" w:cs="Times New Roman"/>
          <w:color w:val="auto"/>
          <w:sz w:val="24"/>
          <w:szCs w:val="24"/>
        </w:rPr>
        <w:tab/>
      </w:r>
      <w:r>
        <w:rPr>
          <w:rFonts w:hint="eastAsia" w:cs="Times New Roman"/>
          <w:color w:val="auto"/>
          <w:sz w:val="24"/>
          <w:szCs w:val="24"/>
          <w:lang w:val="en-US" w:eastAsia="zh-CN"/>
        </w:rPr>
        <w:t>55</w:t>
      </w:r>
    </w:p>
    <w:p w14:paraId="7728C6B4">
      <w:pPr>
        <w:pStyle w:val="15"/>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left"/>
        <w:textAlignment w:val="auto"/>
        <w:rPr>
          <w:rFonts w:hint="default" w:ascii="Times New Roman" w:hAnsi="Times New Roman" w:eastAsia="仿宋_GB2312" w:cs="仿宋_GB2312"/>
          <w:color w:val="auto"/>
          <w:sz w:val="32"/>
          <w:szCs w:val="32"/>
          <w:highlight w:val="none"/>
          <w:lang w:val="en-US"/>
        </w:rPr>
      </w:pPr>
      <w:r>
        <w:rPr>
          <w:rFonts w:hint="eastAsia" w:ascii="Times New Roman" w:hAnsi="Times New Roman" w:eastAsia="仿宋_GB2312" w:cs="仿宋_GB2312"/>
          <w:color w:val="auto"/>
          <w:sz w:val="32"/>
          <w:szCs w:val="32"/>
          <w:highlight w:val="none"/>
        </w:rPr>
        <w:t>二、收入决算表</w:t>
      </w:r>
      <w:r>
        <w:rPr>
          <w:rFonts w:hint="default" w:ascii="Times New Roman" w:hAnsi="Times New Roman" w:cs="Times New Roman"/>
          <w:color w:val="auto"/>
          <w:sz w:val="24"/>
          <w:szCs w:val="24"/>
        </w:rPr>
        <w:tab/>
      </w:r>
      <w:r>
        <w:rPr>
          <w:rFonts w:hint="eastAsia" w:cs="Times New Roman"/>
          <w:color w:val="auto"/>
          <w:sz w:val="24"/>
          <w:szCs w:val="24"/>
          <w:lang w:val="en-US" w:eastAsia="zh-CN"/>
        </w:rPr>
        <w:t>55</w:t>
      </w:r>
    </w:p>
    <w:p w14:paraId="01EC1433">
      <w:pPr>
        <w:pStyle w:val="15"/>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left"/>
        <w:textAlignment w:val="auto"/>
        <w:rPr>
          <w:rFonts w:hint="default" w:ascii="Times New Roman" w:hAnsi="Times New Roman" w:eastAsia="仿宋_GB2312" w:cs="仿宋_GB2312"/>
          <w:color w:val="auto"/>
          <w:sz w:val="32"/>
          <w:szCs w:val="32"/>
          <w:highlight w:val="none"/>
          <w:lang w:val="en-US"/>
        </w:rPr>
      </w:pPr>
      <w:r>
        <w:rPr>
          <w:rFonts w:hint="eastAsia" w:ascii="Times New Roman" w:hAnsi="Times New Roman" w:eastAsia="仿宋_GB2312" w:cs="仿宋_GB2312"/>
          <w:color w:val="auto"/>
          <w:sz w:val="32"/>
          <w:szCs w:val="32"/>
          <w:highlight w:val="none"/>
        </w:rPr>
        <w:t>三、支出决算表</w:t>
      </w:r>
      <w:r>
        <w:rPr>
          <w:rFonts w:hint="default" w:ascii="Times New Roman" w:hAnsi="Times New Roman" w:cs="Times New Roman"/>
          <w:color w:val="auto"/>
          <w:sz w:val="24"/>
          <w:szCs w:val="24"/>
        </w:rPr>
        <w:tab/>
      </w:r>
      <w:r>
        <w:rPr>
          <w:rFonts w:hint="eastAsia" w:cs="Times New Roman"/>
          <w:color w:val="auto"/>
          <w:sz w:val="24"/>
          <w:szCs w:val="24"/>
          <w:lang w:val="en-US" w:eastAsia="zh-CN"/>
        </w:rPr>
        <w:t>55</w:t>
      </w:r>
    </w:p>
    <w:p w14:paraId="08BBCC7A">
      <w:pPr>
        <w:pStyle w:val="15"/>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left"/>
        <w:textAlignment w:val="auto"/>
        <w:rPr>
          <w:rFonts w:hint="default" w:ascii="Times New Roman" w:hAnsi="Times New Roman" w:eastAsia="仿宋_GB2312" w:cs="仿宋_GB2312"/>
          <w:color w:val="auto"/>
          <w:sz w:val="32"/>
          <w:szCs w:val="32"/>
          <w:highlight w:val="none"/>
          <w:lang w:val="en-US"/>
        </w:rPr>
      </w:pPr>
      <w:r>
        <w:rPr>
          <w:rFonts w:hint="eastAsia" w:ascii="Times New Roman" w:hAnsi="Times New Roman" w:eastAsia="仿宋_GB2312" w:cs="仿宋_GB2312"/>
          <w:color w:val="auto"/>
          <w:sz w:val="32"/>
          <w:szCs w:val="32"/>
          <w:highlight w:val="none"/>
        </w:rPr>
        <w:t>四、财政拨款收入支出决算总表</w:t>
      </w:r>
      <w:r>
        <w:rPr>
          <w:rFonts w:hint="default" w:ascii="Times New Roman" w:hAnsi="Times New Roman" w:cs="Times New Roman"/>
          <w:color w:val="auto"/>
          <w:sz w:val="24"/>
          <w:szCs w:val="24"/>
        </w:rPr>
        <w:tab/>
      </w:r>
      <w:r>
        <w:rPr>
          <w:rFonts w:hint="eastAsia" w:cs="Times New Roman"/>
          <w:color w:val="auto"/>
          <w:sz w:val="24"/>
          <w:szCs w:val="24"/>
          <w:lang w:val="en-US" w:eastAsia="zh-CN"/>
        </w:rPr>
        <w:t>55</w:t>
      </w:r>
    </w:p>
    <w:p w14:paraId="0A1C3651">
      <w:pPr>
        <w:pStyle w:val="15"/>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left"/>
        <w:textAlignment w:val="auto"/>
        <w:rPr>
          <w:rFonts w:hint="default" w:ascii="Times New Roman" w:hAnsi="Times New Roman" w:eastAsia="仿宋_GB2312" w:cs="仿宋_GB2312"/>
          <w:color w:val="auto"/>
          <w:sz w:val="32"/>
          <w:szCs w:val="32"/>
          <w:highlight w:val="none"/>
          <w:lang w:val="en-US"/>
        </w:rPr>
      </w:pPr>
      <w:r>
        <w:rPr>
          <w:rFonts w:hint="eastAsia" w:ascii="Times New Roman" w:hAnsi="Times New Roman" w:eastAsia="仿宋_GB2312" w:cs="仿宋_GB2312"/>
          <w:color w:val="auto"/>
          <w:sz w:val="32"/>
          <w:szCs w:val="32"/>
          <w:highlight w:val="none"/>
        </w:rPr>
        <w:t>五、财政拨款支出决算明细表</w:t>
      </w:r>
      <w:r>
        <w:rPr>
          <w:rFonts w:hint="default" w:ascii="Times New Roman" w:hAnsi="Times New Roman" w:cs="Times New Roman"/>
          <w:color w:val="auto"/>
          <w:sz w:val="24"/>
          <w:szCs w:val="24"/>
        </w:rPr>
        <w:tab/>
      </w:r>
      <w:r>
        <w:rPr>
          <w:rFonts w:hint="eastAsia" w:cs="Times New Roman"/>
          <w:color w:val="auto"/>
          <w:sz w:val="24"/>
          <w:szCs w:val="24"/>
          <w:lang w:val="en-US" w:eastAsia="zh-CN"/>
        </w:rPr>
        <w:t>55</w:t>
      </w:r>
    </w:p>
    <w:p w14:paraId="71B7DBEA">
      <w:pPr>
        <w:pStyle w:val="15"/>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left"/>
        <w:textAlignment w:val="auto"/>
        <w:rPr>
          <w:rFonts w:hint="default" w:ascii="Times New Roman" w:hAnsi="Times New Roman" w:eastAsia="仿宋_GB2312" w:cs="仿宋_GB2312"/>
          <w:color w:val="auto"/>
          <w:sz w:val="32"/>
          <w:szCs w:val="32"/>
          <w:highlight w:val="none"/>
          <w:lang w:val="en-US"/>
        </w:rPr>
      </w:pPr>
      <w:r>
        <w:rPr>
          <w:rFonts w:hint="eastAsia" w:ascii="Times New Roman" w:hAnsi="Times New Roman" w:eastAsia="仿宋_GB2312" w:cs="仿宋_GB2312"/>
          <w:color w:val="auto"/>
          <w:sz w:val="32"/>
          <w:szCs w:val="32"/>
          <w:highlight w:val="none"/>
        </w:rPr>
        <w:t>六、一般公共预算财政拨款支出决算表</w:t>
      </w:r>
      <w:r>
        <w:rPr>
          <w:rFonts w:hint="default" w:ascii="Times New Roman" w:hAnsi="Times New Roman" w:cs="Times New Roman"/>
          <w:color w:val="auto"/>
          <w:sz w:val="24"/>
          <w:szCs w:val="24"/>
        </w:rPr>
        <w:tab/>
      </w:r>
      <w:r>
        <w:rPr>
          <w:rFonts w:hint="eastAsia" w:cs="Times New Roman"/>
          <w:color w:val="auto"/>
          <w:sz w:val="24"/>
          <w:szCs w:val="24"/>
          <w:lang w:val="en-US" w:eastAsia="zh-CN"/>
        </w:rPr>
        <w:t>55</w:t>
      </w:r>
    </w:p>
    <w:p w14:paraId="6D7FE607">
      <w:pPr>
        <w:pStyle w:val="15"/>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left"/>
        <w:textAlignment w:val="auto"/>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rPr>
        <w:t>七、一般公共预算财政拨款支出决算明细表</w:t>
      </w:r>
      <w:r>
        <w:rPr>
          <w:rFonts w:hint="default" w:ascii="Times New Roman" w:hAnsi="Times New Roman" w:cs="Times New Roman"/>
          <w:color w:val="auto"/>
          <w:sz w:val="24"/>
          <w:szCs w:val="24"/>
        </w:rPr>
        <w:tab/>
      </w:r>
      <w:r>
        <w:rPr>
          <w:rFonts w:hint="eastAsia" w:cs="Times New Roman"/>
          <w:color w:val="auto"/>
          <w:sz w:val="24"/>
          <w:szCs w:val="24"/>
          <w:lang w:val="en-US" w:eastAsia="zh-CN"/>
        </w:rPr>
        <w:t>55</w:t>
      </w:r>
    </w:p>
    <w:p w14:paraId="35D07E89">
      <w:pPr>
        <w:pStyle w:val="15"/>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left"/>
        <w:textAlignment w:val="auto"/>
        <w:rPr>
          <w:rFonts w:hint="default" w:ascii="Times New Roman" w:hAnsi="Times New Roman" w:eastAsia="仿宋_GB2312" w:cs="仿宋_GB2312"/>
          <w:color w:val="auto"/>
          <w:sz w:val="32"/>
          <w:szCs w:val="32"/>
          <w:highlight w:val="none"/>
          <w:lang w:val="en-US"/>
        </w:rPr>
      </w:pPr>
      <w:r>
        <w:rPr>
          <w:rFonts w:hint="eastAsia" w:ascii="Times New Roman" w:hAnsi="Times New Roman" w:eastAsia="仿宋_GB2312" w:cs="仿宋_GB2312"/>
          <w:color w:val="auto"/>
          <w:sz w:val="32"/>
          <w:szCs w:val="32"/>
          <w:highlight w:val="none"/>
        </w:rPr>
        <w:t>八、一般公共预算财政拨款基本支出决算</w:t>
      </w:r>
      <w:r>
        <w:rPr>
          <w:rFonts w:hint="eastAsia" w:ascii="Times New Roman" w:hAnsi="Times New Roman" w:eastAsia="仿宋_GB2312" w:cs="仿宋_GB2312"/>
          <w:color w:val="auto"/>
          <w:sz w:val="32"/>
          <w:szCs w:val="32"/>
          <w:highlight w:val="none"/>
          <w:lang w:eastAsia="zh-CN"/>
        </w:rPr>
        <w:t>明细</w:t>
      </w:r>
      <w:r>
        <w:rPr>
          <w:rFonts w:hint="eastAsia" w:ascii="Times New Roman" w:hAnsi="Times New Roman" w:eastAsia="仿宋_GB2312" w:cs="仿宋_GB2312"/>
          <w:color w:val="auto"/>
          <w:sz w:val="32"/>
          <w:szCs w:val="32"/>
          <w:highlight w:val="none"/>
        </w:rPr>
        <w:t>表</w:t>
      </w:r>
      <w:r>
        <w:rPr>
          <w:rFonts w:hint="default" w:ascii="Times New Roman" w:hAnsi="Times New Roman" w:cs="Times New Roman"/>
          <w:color w:val="auto"/>
          <w:sz w:val="24"/>
          <w:szCs w:val="24"/>
        </w:rPr>
        <w:tab/>
      </w:r>
      <w:r>
        <w:rPr>
          <w:rFonts w:hint="eastAsia" w:cs="Times New Roman"/>
          <w:color w:val="auto"/>
          <w:sz w:val="24"/>
          <w:szCs w:val="24"/>
          <w:lang w:val="en-US" w:eastAsia="zh-CN"/>
        </w:rPr>
        <w:t>55</w:t>
      </w:r>
    </w:p>
    <w:p w14:paraId="3DA1089E">
      <w:pPr>
        <w:pStyle w:val="15"/>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left"/>
        <w:textAlignment w:val="auto"/>
        <w:rPr>
          <w:rFonts w:hint="default" w:ascii="Times New Roman" w:hAnsi="Times New Roman" w:eastAsia="仿宋_GB2312" w:cs="仿宋_GB2312"/>
          <w:color w:val="auto"/>
          <w:sz w:val="32"/>
          <w:szCs w:val="32"/>
          <w:highlight w:val="none"/>
          <w:lang w:val="en-US"/>
        </w:rPr>
      </w:pPr>
      <w:r>
        <w:rPr>
          <w:rFonts w:hint="eastAsia" w:ascii="Times New Roman" w:hAnsi="Times New Roman" w:eastAsia="仿宋_GB2312" w:cs="仿宋_GB2312"/>
          <w:color w:val="auto"/>
          <w:sz w:val="32"/>
          <w:szCs w:val="32"/>
          <w:highlight w:val="none"/>
        </w:rPr>
        <w:t>九、一般公共预算财政拨款项目支出决算表</w:t>
      </w:r>
      <w:r>
        <w:rPr>
          <w:rFonts w:hint="default" w:ascii="Times New Roman" w:hAnsi="Times New Roman" w:cs="Times New Roman"/>
          <w:color w:val="auto"/>
          <w:sz w:val="24"/>
          <w:szCs w:val="24"/>
        </w:rPr>
        <w:tab/>
      </w:r>
      <w:r>
        <w:rPr>
          <w:rFonts w:hint="eastAsia" w:cs="Times New Roman"/>
          <w:color w:val="auto"/>
          <w:sz w:val="24"/>
          <w:szCs w:val="24"/>
          <w:lang w:val="en-US" w:eastAsia="zh-CN"/>
        </w:rPr>
        <w:t>55</w:t>
      </w:r>
    </w:p>
    <w:p w14:paraId="197E32CD">
      <w:pPr>
        <w:pStyle w:val="15"/>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left"/>
        <w:textAlignment w:val="auto"/>
        <w:rPr>
          <w:rFonts w:hint="default" w:ascii="Times New Roman" w:hAnsi="Times New Roman" w:eastAsia="仿宋_GB2312" w:cs="仿宋_GB2312"/>
          <w:color w:val="auto"/>
          <w:sz w:val="32"/>
          <w:szCs w:val="32"/>
          <w:highlight w:val="none"/>
          <w:lang w:val="en-US"/>
        </w:rPr>
      </w:pPr>
      <w:r>
        <w:rPr>
          <w:rFonts w:hint="eastAsia" w:ascii="Times New Roman" w:hAnsi="Times New Roman" w:eastAsia="仿宋_GB2312" w:cs="仿宋_GB2312"/>
          <w:color w:val="auto"/>
          <w:sz w:val="32"/>
          <w:szCs w:val="32"/>
          <w:highlight w:val="none"/>
        </w:rPr>
        <w:t>十、政府性基金预算财政拨款收入支出决算表</w:t>
      </w:r>
      <w:r>
        <w:rPr>
          <w:rFonts w:hint="default" w:ascii="Times New Roman" w:hAnsi="Times New Roman" w:cs="Times New Roman"/>
          <w:color w:val="auto"/>
          <w:sz w:val="24"/>
          <w:szCs w:val="24"/>
        </w:rPr>
        <w:tab/>
      </w:r>
      <w:r>
        <w:rPr>
          <w:rFonts w:hint="eastAsia" w:cs="Times New Roman"/>
          <w:color w:val="auto"/>
          <w:sz w:val="24"/>
          <w:szCs w:val="24"/>
          <w:lang w:val="en-US" w:eastAsia="zh-CN"/>
        </w:rPr>
        <w:t>55</w:t>
      </w:r>
    </w:p>
    <w:p w14:paraId="4C255883">
      <w:pPr>
        <w:pStyle w:val="15"/>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left"/>
        <w:textAlignment w:val="auto"/>
        <w:rPr>
          <w:rFonts w:hint="default" w:ascii="Times New Roman" w:hAnsi="Times New Roman" w:eastAsia="仿宋_GB2312" w:cs="仿宋_GB2312"/>
          <w:color w:val="auto"/>
          <w:sz w:val="32"/>
          <w:szCs w:val="32"/>
          <w:highlight w:val="none"/>
          <w:lang w:val="en-US"/>
        </w:rPr>
      </w:pPr>
      <w:r>
        <w:rPr>
          <w:rFonts w:hint="eastAsia" w:ascii="Times New Roman" w:hAnsi="Times New Roman" w:eastAsia="仿宋_GB2312" w:cs="仿宋_GB2312"/>
          <w:color w:val="auto"/>
          <w:sz w:val="32"/>
          <w:szCs w:val="32"/>
          <w:highlight w:val="none"/>
        </w:rPr>
        <w:t>十一、国有资本经营预算财政拨款收入支出决算表</w:t>
      </w:r>
      <w:r>
        <w:rPr>
          <w:rFonts w:hint="default" w:ascii="Times New Roman" w:hAnsi="Times New Roman" w:cs="Times New Roman"/>
          <w:color w:val="auto"/>
          <w:sz w:val="24"/>
          <w:szCs w:val="24"/>
        </w:rPr>
        <w:tab/>
      </w:r>
      <w:r>
        <w:rPr>
          <w:rFonts w:hint="eastAsia" w:cs="Times New Roman"/>
          <w:color w:val="auto"/>
          <w:sz w:val="24"/>
          <w:szCs w:val="24"/>
          <w:lang w:val="en-US" w:eastAsia="zh-CN"/>
        </w:rPr>
        <w:t>55</w:t>
      </w:r>
    </w:p>
    <w:p w14:paraId="3E51AD60">
      <w:pPr>
        <w:pStyle w:val="15"/>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left"/>
        <w:textAlignment w:val="auto"/>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rPr>
        <w:t>十二、</w:t>
      </w:r>
      <w:r>
        <w:rPr>
          <w:rFonts w:hint="eastAsia" w:ascii="Times New Roman" w:hAnsi="Times New Roman" w:eastAsia="仿宋_GB2312" w:cs="仿宋_GB2312"/>
          <w:color w:val="auto"/>
          <w:sz w:val="32"/>
          <w:szCs w:val="32"/>
          <w:highlight w:val="none"/>
          <w:lang w:val="en-US" w:eastAsia="zh-CN"/>
        </w:rPr>
        <w:t>国有资本经营预算财政拨款支出决算表</w:t>
      </w:r>
      <w:r>
        <w:rPr>
          <w:rFonts w:hint="default" w:ascii="Times New Roman" w:hAnsi="Times New Roman" w:cs="Times New Roman"/>
          <w:color w:val="auto"/>
          <w:sz w:val="24"/>
          <w:szCs w:val="24"/>
        </w:rPr>
        <w:tab/>
      </w:r>
      <w:r>
        <w:rPr>
          <w:rFonts w:hint="eastAsia" w:cs="Times New Roman"/>
          <w:color w:val="auto"/>
          <w:sz w:val="24"/>
          <w:szCs w:val="24"/>
          <w:lang w:val="en-US" w:eastAsia="zh-CN"/>
        </w:rPr>
        <w:t>55</w:t>
      </w:r>
    </w:p>
    <w:p w14:paraId="3851794F">
      <w:pPr>
        <w:pStyle w:val="15"/>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left"/>
        <w:textAlignment w:val="auto"/>
        <w:rPr>
          <w:rFonts w:hint="default" w:ascii="Times New Roman" w:hAnsi="Times New Roman" w:eastAsia="仿宋_GB2312" w:cs="仿宋_GB2312"/>
          <w:color w:val="auto"/>
          <w:sz w:val="32"/>
          <w:szCs w:val="32"/>
          <w:highlight w:val="none"/>
          <w:lang w:val="en-US"/>
        </w:rPr>
      </w:pPr>
      <w:r>
        <w:rPr>
          <w:rFonts w:hint="eastAsia" w:ascii="Times New Roman" w:hAnsi="Times New Roman" w:eastAsia="仿宋_GB2312" w:cs="仿宋_GB2312"/>
          <w:color w:val="auto"/>
          <w:sz w:val="32"/>
          <w:szCs w:val="32"/>
          <w:highlight w:val="none"/>
        </w:rPr>
        <w:t>十三、财政拨款“三公”经费支出决算表</w:t>
      </w:r>
      <w:r>
        <w:rPr>
          <w:rFonts w:hint="default" w:ascii="Times New Roman" w:hAnsi="Times New Roman" w:cs="Times New Roman"/>
          <w:color w:val="auto"/>
          <w:sz w:val="24"/>
          <w:szCs w:val="24"/>
        </w:rPr>
        <w:tab/>
      </w:r>
      <w:r>
        <w:rPr>
          <w:rFonts w:hint="eastAsia" w:cs="Times New Roman"/>
          <w:color w:val="auto"/>
          <w:sz w:val="24"/>
          <w:szCs w:val="24"/>
          <w:lang w:val="en-US" w:eastAsia="zh-CN"/>
        </w:rPr>
        <w:t>55</w:t>
      </w:r>
    </w:p>
    <w:p w14:paraId="49156647">
      <w:pPr>
        <w:keepNext w:val="0"/>
        <w:keepLines w:val="0"/>
        <w:pageBreakBefore w:val="0"/>
        <w:widowControl/>
        <w:kinsoku/>
        <w:wordWrap/>
        <w:overflowPunct/>
        <w:topLinePunct w:val="0"/>
        <w:autoSpaceDE/>
        <w:autoSpaceDN/>
        <w:bidi w:val="0"/>
        <w:spacing w:line="560" w:lineRule="exact"/>
        <w:jc w:val="left"/>
        <w:textAlignment w:val="auto"/>
        <w:rPr>
          <w:rFonts w:hint="eastAsia" w:ascii="Times New Roman" w:hAnsi="Times New Roman" w:eastAsia="仿宋_GB2312" w:cs="仿宋_GB2312"/>
          <w:bCs/>
          <w:color w:val="auto"/>
          <w:kern w:val="44"/>
          <w:sz w:val="32"/>
          <w:szCs w:val="32"/>
          <w:highlight w:val="none"/>
        </w:rPr>
      </w:pPr>
      <w:bookmarkStart w:id="12" w:name="_Toc15377196"/>
      <w:bookmarkStart w:id="13" w:name="_Toc15396599"/>
      <w:r>
        <w:rPr>
          <w:rFonts w:hint="eastAsia" w:ascii="Times New Roman" w:hAnsi="Times New Roman" w:eastAsia="仿宋_GB2312" w:cs="仿宋_GB2312"/>
          <w:b/>
          <w:color w:val="auto"/>
          <w:sz w:val="32"/>
          <w:szCs w:val="32"/>
          <w:highlight w:val="none"/>
        </w:rPr>
        <w:br w:type="page"/>
      </w:r>
    </w:p>
    <w:p w14:paraId="69C3B3F5">
      <w:pPr>
        <w:pStyle w:val="2"/>
        <w:jc w:val="center"/>
        <w:rPr>
          <w:rStyle w:val="31"/>
          <w:rFonts w:hint="eastAsia" w:ascii="方正小标宋_GBK" w:hAnsi="方正小标宋_GBK" w:eastAsia="方正小标宋_GBK" w:cs="方正小标宋_GBK"/>
          <w:b/>
          <w:bCs w:val="0"/>
          <w:color w:val="auto"/>
          <w:highlight w:val="none"/>
        </w:rPr>
      </w:pPr>
      <w:r>
        <w:rPr>
          <w:rFonts w:hint="eastAsia" w:ascii="方正小标宋_GBK" w:hAnsi="方正小标宋_GBK" w:eastAsia="方正小标宋_GBK" w:cs="方正小标宋_GBK"/>
          <w:b w:val="0"/>
          <w:color w:val="auto"/>
          <w:highlight w:val="none"/>
        </w:rPr>
        <w:t>第一部分</w:t>
      </w:r>
      <w:r>
        <w:rPr>
          <w:rFonts w:hint="eastAsia" w:ascii="方正小标宋_GBK" w:hAnsi="方正小标宋_GBK" w:eastAsia="方正小标宋_GBK" w:cs="方正小标宋_GBK"/>
          <w:b w:val="0"/>
          <w:color w:val="auto"/>
          <w:highlight w:val="none"/>
          <w:lang w:val="en-US" w:eastAsia="zh-CN"/>
        </w:rPr>
        <w:t xml:space="preserve"> </w:t>
      </w:r>
      <w:r>
        <w:rPr>
          <w:rFonts w:hint="eastAsia" w:ascii="方正小标宋_GBK" w:hAnsi="方正小标宋_GBK" w:eastAsia="方正小标宋_GBK" w:cs="方正小标宋_GBK"/>
          <w:b w:val="0"/>
          <w:color w:val="auto"/>
          <w:highlight w:val="none"/>
        </w:rPr>
        <w:t xml:space="preserve"> </w:t>
      </w:r>
      <w:r>
        <w:rPr>
          <w:rStyle w:val="31"/>
          <w:rFonts w:hint="eastAsia" w:ascii="方正小标宋_GBK" w:hAnsi="方正小标宋_GBK" w:eastAsia="方正小标宋_GBK" w:cs="方正小标宋_GBK"/>
          <w:b w:val="0"/>
          <w:bCs w:val="0"/>
          <w:color w:val="auto"/>
          <w:highlight w:val="none"/>
        </w:rPr>
        <w:t>部门概况</w:t>
      </w:r>
      <w:bookmarkEnd w:id="12"/>
      <w:bookmarkEnd w:id="13"/>
    </w:p>
    <w:p w14:paraId="3216816A">
      <w:pPr>
        <w:pStyle w:val="3"/>
        <w:pageBreakBefore w:val="0"/>
        <w:numPr>
          <w:ilvl w:val="0"/>
          <w:numId w:val="0"/>
        </w:numPr>
        <w:kinsoku/>
        <w:wordWrap/>
        <w:overflowPunct/>
        <w:topLinePunct w:val="0"/>
        <w:autoSpaceDE/>
        <w:autoSpaceDN/>
        <w:bidi w:val="0"/>
        <w:adjustRightInd/>
        <w:snapToGrid/>
        <w:spacing w:before="0" w:after="0" w:line="600" w:lineRule="exact"/>
        <w:ind w:firstLine="640" w:firstLineChars="200"/>
        <w:textAlignment w:val="auto"/>
        <w:rPr>
          <w:rFonts w:hint="default" w:ascii="Times New Roman" w:hAnsi="Times New Roman" w:eastAsia="黑体" w:cs="Times New Roman"/>
          <w:b w:val="0"/>
          <w:color w:val="auto"/>
          <w:highlight w:val="none"/>
          <w:lang w:eastAsia="zh-CN"/>
        </w:rPr>
      </w:pPr>
      <w:r>
        <w:rPr>
          <w:rFonts w:hint="default" w:ascii="Times New Roman" w:hAnsi="Times New Roman" w:eastAsia="黑体" w:cs="Times New Roman"/>
          <w:b w:val="0"/>
          <w:color w:val="auto"/>
          <w:highlight w:val="none"/>
          <w:lang w:val="en-US" w:eastAsia="zh-CN"/>
        </w:rPr>
        <w:t>一、</w:t>
      </w:r>
      <w:r>
        <w:rPr>
          <w:rFonts w:hint="default" w:ascii="Times New Roman" w:hAnsi="Times New Roman" w:eastAsia="黑体" w:cs="Times New Roman"/>
          <w:b w:val="0"/>
          <w:color w:val="auto"/>
          <w:highlight w:val="none"/>
          <w:lang w:eastAsia="zh-CN"/>
        </w:rPr>
        <w:t>部门职责</w:t>
      </w:r>
    </w:p>
    <w:p w14:paraId="1DB20297">
      <w:pPr>
        <w:pageBreakBefore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kern w:val="0"/>
          <w:sz w:val="32"/>
          <w:szCs w:val="32"/>
          <w:lang w:eastAsia="zh-CN"/>
        </w:rPr>
      </w:pPr>
      <w:r>
        <w:rPr>
          <w:rFonts w:hint="default" w:ascii="Times New Roman" w:hAnsi="Times New Roman" w:eastAsia="仿宋_GB2312" w:cs="Times New Roman"/>
          <w:color w:val="auto"/>
          <w:sz w:val="32"/>
          <w:szCs w:val="32"/>
          <w:lang w:eastAsia="zh-CN"/>
        </w:rPr>
        <w:t>四川省攀枝花市社会保险事务中心</w:t>
      </w:r>
      <w:r>
        <w:rPr>
          <w:rFonts w:hint="default" w:ascii="Times New Roman" w:hAnsi="Times New Roman" w:eastAsia="仿宋_GB2312" w:cs="Times New Roman"/>
          <w:kern w:val="0"/>
          <w:sz w:val="32"/>
          <w:szCs w:val="32"/>
          <w:lang w:eastAsia="zh-CN"/>
        </w:rPr>
        <w:t>承担城镇企业职工、灵活就业人员、机关事业单位职工养老保险以及工伤保险参保登记、申报工作；</w:t>
      </w:r>
      <w:r>
        <w:rPr>
          <w:rFonts w:hint="default" w:ascii="Times New Roman" w:hAnsi="Times New Roman" w:eastAsia="仿宋_GB2312" w:cs="Times New Roman"/>
          <w:kern w:val="0"/>
          <w:sz w:val="32"/>
          <w:szCs w:val="32"/>
          <w:lang w:val="en-US" w:eastAsia="zh-CN"/>
        </w:rPr>
        <w:t>负责</w:t>
      </w:r>
      <w:r>
        <w:rPr>
          <w:rFonts w:hint="default" w:ascii="Times New Roman" w:hAnsi="Times New Roman" w:eastAsia="仿宋_GB2312" w:cs="Times New Roman"/>
          <w:kern w:val="0"/>
          <w:sz w:val="32"/>
          <w:szCs w:val="32"/>
          <w:lang w:eastAsia="zh-CN"/>
        </w:rPr>
        <w:t>个人权益记录、核定并按时支付各类人员养老保险及工伤保险待遇；负责城镇各类用人单位职工基本养老、工伤的稽核及待遇支付等工作；负责组织实施全市征地农转非人员社会保障工作；承担工伤保险经办及劳动能力鉴定服务工作；指导各县（区）社保经办机构开展相关工作。</w:t>
      </w:r>
    </w:p>
    <w:p w14:paraId="01D53E4F">
      <w:pPr>
        <w:pStyle w:val="3"/>
        <w:pageBreakBefore w:val="0"/>
        <w:kinsoku/>
        <w:wordWrap/>
        <w:overflowPunct/>
        <w:topLinePunct w:val="0"/>
        <w:autoSpaceDE/>
        <w:autoSpaceDN/>
        <w:bidi w:val="0"/>
        <w:adjustRightInd/>
        <w:snapToGrid/>
        <w:spacing w:before="0" w:after="0" w:line="600" w:lineRule="exact"/>
        <w:ind w:firstLine="640" w:firstLineChars="200"/>
        <w:textAlignment w:val="auto"/>
        <w:rPr>
          <w:rStyle w:val="32"/>
          <w:rFonts w:hint="default" w:ascii="Times New Roman" w:hAnsi="Times New Roman" w:cs="Times New Roman"/>
          <w:b w:val="0"/>
          <w:bCs w:val="0"/>
          <w:color w:val="auto"/>
          <w:highlight w:val="none"/>
        </w:rPr>
      </w:pPr>
      <w:bookmarkStart w:id="14" w:name="_Toc15377200"/>
      <w:bookmarkStart w:id="15" w:name="_Toc15396601"/>
      <w:r>
        <w:rPr>
          <w:rFonts w:hint="default" w:ascii="Times New Roman" w:hAnsi="Times New Roman" w:eastAsia="黑体" w:cs="Times New Roman"/>
          <w:b w:val="0"/>
          <w:color w:val="auto"/>
          <w:highlight w:val="none"/>
        </w:rPr>
        <w:t>二、机</w:t>
      </w:r>
      <w:r>
        <w:rPr>
          <w:rStyle w:val="32"/>
          <w:rFonts w:hint="default" w:ascii="Times New Roman" w:hAnsi="Times New Roman" w:eastAsia="黑体" w:cs="Times New Roman"/>
          <w:b w:val="0"/>
          <w:bCs w:val="0"/>
          <w:color w:val="auto"/>
          <w:highlight w:val="none"/>
        </w:rPr>
        <w:t>构设置</w:t>
      </w:r>
      <w:bookmarkEnd w:id="14"/>
      <w:bookmarkEnd w:id="15"/>
    </w:p>
    <w:p w14:paraId="637975F3">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0" w:leftChars="0" w:right="0" w:rightChars="0" w:firstLine="640" w:firstLineChars="200"/>
        <w:jc w:val="both"/>
        <w:textAlignment w:val="auto"/>
        <w:rPr>
          <w:rFonts w:hint="default" w:ascii="Times New Roman" w:hAnsi="Times New Roman" w:eastAsia="仿宋_GB2312" w:cs="Times New Roman"/>
          <w:i w:val="0"/>
          <w:caps w:val="0"/>
          <w:color w:val="auto"/>
          <w:spacing w:val="0"/>
          <w:kern w:val="2"/>
          <w:sz w:val="32"/>
          <w:szCs w:val="32"/>
          <w:highlight w:val="none"/>
          <w:shd w:val="clear" w:color="auto" w:fill="auto"/>
          <w:lang w:val="en-US" w:eastAsia="zh-CN" w:bidi="ar-SA"/>
        </w:rPr>
      </w:pPr>
      <w:r>
        <w:rPr>
          <w:rFonts w:hint="default" w:ascii="Times New Roman" w:hAnsi="Times New Roman" w:eastAsia="仿宋_GB2312" w:cs="Times New Roman"/>
          <w:color w:val="auto"/>
          <w:sz w:val="32"/>
          <w:szCs w:val="32"/>
          <w:highlight w:val="none"/>
        </w:rPr>
        <w:t>四川省攀枝花市社会保险事务中心</w:t>
      </w:r>
      <w:r>
        <w:rPr>
          <w:rFonts w:hint="default" w:ascii="Times New Roman" w:hAnsi="Times New Roman" w:eastAsia="仿宋_GB2312" w:cs="Times New Roman"/>
          <w:sz w:val="32"/>
          <w:szCs w:val="32"/>
        </w:rPr>
        <w:t>为根据原省人事厅《关于批准攀枝花市机关事务管理局等39个市属事业单位参照公务员法管理的函》（川人函〔2009〕68号）批准的参照公务员法管理事业单位</w:t>
      </w:r>
      <w:r>
        <w:rPr>
          <w:rFonts w:hint="default" w:ascii="Times New Roman" w:hAnsi="Times New Roman" w:eastAsia="仿宋_GB2312" w:cs="Times New Roman"/>
          <w:sz w:val="32"/>
          <w:szCs w:val="32"/>
          <w:lang w:eastAsia="zh-CN"/>
        </w:rPr>
        <w:t>。</w:t>
      </w:r>
    </w:p>
    <w:p w14:paraId="69A78944">
      <w:pPr>
        <w:pStyle w:val="2"/>
        <w:pageBreakBefore w:val="0"/>
        <w:kinsoku/>
        <w:wordWrap/>
        <w:overflowPunct/>
        <w:topLinePunct w:val="0"/>
        <w:autoSpaceDE/>
        <w:autoSpaceDN/>
        <w:bidi w:val="0"/>
        <w:adjustRightInd/>
        <w:snapToGrid/>
        <w:spacing w:before="0" w:after="0" w:line="600" w:lineRule="exact"/>
        <w:jc w:val="center"/>
        <w:textAlignment w:val="auto"/>
        <w:rPr>
          <w:rFonts w:hint="default" w:ascii="Times New Roman" w:hAnsi="Times New Roman" w:eastAsia="方正小标宋简体" w:cs="Times New Roman"/>
          <w:b w:val="0"/>
          <w:color w:val="auto"/>
          <w:highlight w:val="none"/>
        </w:rPr>
      </w:pPr>
      <w:bookmarkStart w:id="16" w:name="_Toc15377204"/>
      <w:bookmarkStart w:id="17" w:name="_Toc15396602"/>
    </w:p>
    <w:p w14:paraId="21D7EDAA">
      <w:pPr>
        <w:rPr>
          <w:rFonts w:hint="default" w:ascii="Times New Roman" w:hAnsi="Times New Roman" w:eastAsia="方正小标宋简体" w:cs="Times New Roman"/>
          <w:b w:val="0"/>
          <w:color w:val="auto"/>
          <w:highlight w:val="none"/>
        </w:rPr>
      </w:pPr>
    </w:p>
    <w:p w14:paraId="6BB1DB82">
      <w:pPr>
        <w:rPr>
          <w:rFonts w:hint="default" w:ascii="Times New Roman" w:hAnsi="Times New Roman" w:eastAsia="方正小标宋简体" w:cs="Times New Roman"/>
          <w:b w:val="0"/>
          <w:color w:val="auto"/>
          <w:highlight w:val="none"/>
        </w:rPr>
      </w:pPr>
    </w:p>
    <w:p w14:paraId="6FEF688C">
      <w:pPr>
        <w:rPr>
          <w:rFonts w:hint="default" w:ascii="Times New Roman" w:hAnsi="Times New Roman" w:eastAsia="方正小标宋简体" w:cs="Times New Roman"/>
          <w:b w:val="0"/>
          <w:color w:val="auto"/>
          <w:highlight w:val="none"/>
        </w:rPr>
      </w:pPr>
    </w:p>
    <w:p w14:paraId="6925DC84">
      <w:pPr>
        <w:rPr>
          <w:rFonts w:hint="default" w:ascii="Times New Roman" w:hAnsi="Times New Roman" w:eastAsia="方正小标宋简体" w:cs="Times New Roman"/>
          <w:b w:val="0"/>
          <w:color w:val="auto"/>
          <w:highlight w:val="none"/>
        </w:rPr>
      </w:pPr>
    </w:p>
    <w:p w14:paraId="5B30D8BC">
      <w:pPr>
        <w:rPr>
          <w:rFonts w:hint="default" w:ascii="Times New Roman" w:hAnsi="Times New Roman" w:eastAsia="方正小标宋简体" w:cs="Times New Roman"/>
          <w:b w:val="0"/>
          <w:color w:val="auto"/>
          <w:highlight w:val="none"/>
        </w:rPr>
      </w:pPr>
    </w:p>
    <w:p w14:paraId="1D86A5EA">
      <w:pPr>
        <w:rPr>
          <w:rFonts w:hint="default" w:ascii="Times New Roman" w:hAnsi="Times New Roman" w:eastAsia="方正小标宋简体" w:cs="Times New Roman"/>
          <w:b w:val="0"/>
          <w:color w:val="auto"/>
          <w:highlight w:val="none"/>
        </w:rPr>
      </w:pPr>
    </w:p>
    <w:p w14:paraId="6BDC5E1D">
      <w:pPr>
        <w:pStyle w:val="2"/>
        <w:jc w:val="center"/>
        <w:rPr>
          <w:rFonts w:hint="eastAsia" w:ascii="方正小标宋_GBK" w:hAnsi="方正小标宋_GBK" w:eastAsia="方正小标宋_GBK" w:cs="方正小标宋_GBK"/>
          <w:b w:val="0"/>
          <w:color w:val="auto"/>
          <w:highlight w:val="none"/>
        </w:rPr>
      </w:pPr>
      <w:r>
        <w:rPr>
          <w:rFonts w:hint="eastAsia" w:ascii="方正小标宋_GBK" w:hAnsi="方正小标宋_GBK" w:eastAsia="方正小标宋_GBK" w:cs="方正小标宋_GBK"/>
          <w:b w:val="0"/>
          <w:color w:val="auto"/>
          <w:highlight w:val="none"/>
        </w:rPr>
        <w:t>第二部分</w:t>
      </w:r>
      <w:r>
        <w:rPr>
          <w:rFonts w:hint="eastAsia" w:ascii="方正小标宋_GBK" w:hAnsi="方正小标宋_GBK" w:eastAsia="方正小标宋_GBK" w:cs="方正小标宋_GBK"/>
          <w:b w:val="0"/>
          <w:color w:val="auto"/>
          <w:highlight w:val="none"/>
          <w:lang w:val="en-US" w:eastAsia="zh-CN"/>
        </w:rPr>
        <w:t xml:space="preserve"> </w:t>
      </w:r>
      <w:r>
        <w:rPr>
          <w:rFonts w:hint="eastAsia" w:ascii="方正小标宋_GBK" w:hAnsi="方正小标宋_GBK" w:eastAsia="方正小标宋_GBK" w:cs="方正小标宋_GBK"/>
          <w:b w:val="0"/>
          <w:color w:val="auto"/>
          <w:highlight w:val="none"/>
        </w:rPr>
        <w:t xml:space="preserve"> </w:t>
      </w:r>
      <w:r>
        <w:rPr>
          <w:rFonts w:hint="eastAsia" w:ascii="方正小标宋_GBK" w:hAnsi="方正小标宋_GBK" w:eastAsia="方正小标宋_GBK" w:cs="方正小标宋_GBK"/>
          <w:b w:val="0"/>
          <w:color w:val="auto"/>
          <w:highlight w:val="none"/>
          <w:lang w:val="en-US" w:eastAsia="zh-CN"/>
        </w:rPr>
        <w:t>2024年度</w:t>
      </w:r>
      <w:r>
        <w:rPr>
          <w:rFonts w:hint="eastAsia" w:ascii="方正小标宋_GBK" w:hAnsi="方正小标宋_GBK" w:eastAsia="方正小标宋_GBK" w:cs="方正小标宋_GBK"/>
          <w:b w:val="0"/>
          <w:color w:val="auto"/>
          <w:highlight w:val="none"/>
        </w:rPr>
        <w:t>部门决算情况说明</w:t>
      </w:r>
      <w:bookmarkEnd w:id="16"/>
      <w:bookmarkEnd w:id="17"/>
    </w:p>
    <w:p w14:paraId="3548755A">
      <w:pPr>
        <w:rPr>
          <w:rFonts w:hint="default" w:ascii="Times New Roman" w:hAnsi="Times New Roman" w:cs="Times New Roman"/>
          <w:color w:val="auto"/>
          <w:highlight w:val="none"/>
        </w:rPr>
      </w:pPr>
    </w:p>
    <w:p w14:paraId="7345556C">
      <w:pPr>
        <w:pStyle w:val="30"/>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outlineLvl w:val="1"/>
        <w:rPr>
          <w:rStyle w:val="32"/>
          <w:rFonts w:hint="default" w:ascii="Times New Roman" w:hAnsi="Times New Roman" w:eastAsia="黑体" w:cs="Times New Roman"/>
          <w:b w:val="0"/>
          <w:color w:val="auto"/>
          <w:highlight w:val="none"/>
        </w:rPr>
      </w:pPr>
      <w:bookmarkStart w:id="18" w:name="_Toc15396603"/>
      <w:bookmarkStart w:id="19" w:name="_Toc15377205"/>
      <w:r>
        <w:rPr>
          <w:rFonts w:hint="default" w:ascii="Times New Roman" w:hAnsi="Times New Roman" w:eastAsia="黑体" w:cs="Times New Roman"/>
          <w:color w:val="auto"/>
          <w:sz w:val="32"/>
          <w:szCs w:val="32"/>
          <w:highlight w:val="none"/>
          <w:lang w:eastAsia="zh-CN"/>
        </w:rPr>
        <w:t>一、</w:t>
      </w:r>
      <w:r>
        <w:rPr>
          <w:rFonts w:hint="default" w:ascii="Times New Roman" w:hAnsi="Times New Roman" w:eastAsia="黑体" w:cs="Times New Roman"/>
          <w:color w:val="auto"/>
          <w:sz w:val="32"/>
          <w:szCs w:val="32"/>
          <w:highlight w:val="none"/>
        </w:rPr>
        <w:t>收</w:t>
      </w:r>
      <w:r>
        <w:rPr>
          <w:rStyle w:val="32"/>
          <w:rFonts w:hint="default" w:ascii="Times New Roman" w:hAnsi="Times New Roman" w:eastAsia="黑体" w:cs="Times New Roman"/>
          <w:b w:val="0"/>
          <w:color w:val="auto"/>
          <w:highlight w:val="none"/>
        </w:rPr>
        <w:t>入支出决算总体情况说明</w:t>
      </w:r>
      <w:bookmarkEnd w:id="18"/>
      <w:bookmarkEnd w:id="19"/>
    </w:p>
    <w:p w14:paraId="2CF0C3D4">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 w:cs="Times New Roman"/>
          <w:color w:val="auto"/>
          <w:sz w:val="32"/>
          <w:szCs w:val="32"/>
          <w:highlight w:val="none"/>
          <w:lang w:eastAsia="zh-CN"/>
        </w:rPr>
        <w:t>202</w:t>
      </w:r>
      <w:r>
        <w:rPr>
          <w:rFonts w:hint="default" w:ascii="Times New Roman" w:hAnsi="Times New Roman" w:eastAsia="仿宋" w:cs="Times New Roman"/>
          <w:color w:val="auto"/>
          <w:sz w:val="32"/>
          <w:szCs w:val="32"/>
          <w:highlight w:val="none"/>
          <w:lang w:val="en-US" w:eastAsia="zh-CN"/>
        </w:rPr>
        <w:t>4</w:t>
      </w:r>
      <w:r>
        <w:rPr>
          <w:rFonts w:hint="default" w:ascii="Times New Roman" w:hAnsi="Times New Roman" w:eastAsia="仿宋" w:cs="Times New Roman"/>
          <w:color w:val="auto"/>
          <w:sz w:val="32"/>
          <w:szCs w:val="32"/>
          <w:highlight w:val="none"/>
        </w:rPr>
        <w:t>年度收、支总计</w:t>
      </w:r>
      <w:r>
        <w:rPr>
          <w:rFonts w:hint="default" w:ascii="Times New Roman" w:hAnsi="Times New Roman" w:eastAsia="仿宋" w:cs="Times New Roman"/>
          <w:color w:val="auto"/>
          <w:sz w:val="32"/>
          <w:szCs w:val="32"/>
          <w:highlight w:val="none"/>
          <w:lang w:eastAsia="zh-CN"/>
        </w:rPr>
        <w:t>均为</w:t>
      </w:r>
      <w:r>
        <w:rPr>
          <w:rFonts w:hint="default" w:ascii="Times New Roman" w:hAnsi="Times New Roman" w:eastAsia="仿宋" w:cs="Times New Roman"/>
          <w:color w:val="auto"/>
          <w:sz w:val="32"/>
          <w:szCs w:val="32"/>
          <w:highlight w:val="none"/>
          <w:lang w:val="en-US" w:eastAsia="zh-CN"/>
        </w:rPr>
        <w:t>1482.05万元</w:t>
      </w:r>
      <w:r>
        <w:rPr>
          <w:rFonts w:hint="default" w:ascii="Times New Roman" w:hAnsi="Times New Roman" w:eastAsia="仿宋" w:cs="Times New Roman"/>
          <w:color w:val="auto"/>
          <w:sz w:val="32"/>
          <w:szCs w:val="32"/>
          <w:highlight w:val="none"/>
        </w:rPr>
        <w:t>。与</w:t>
      </w:r>
      <w:r>
        <w:rPr>
          <w:rFonts w:hint="default" w:ascii="Times New Roman" w:hAnsi="Times New Roman" w:eastAsia="仿宋" w:cs="Times New Roman"/>
          <w:color w:val="auto"/>
          <w:sz w:val="32"/>
          <w:szCs w:val="32"/>
          <w:highlight w:val="none"/>
          <w:lang w:eastAsia="zh-CN"/>
        </w:rPr>
        <w:t>202</w:t>
      </w:r>
      <w:r>
        <w:rPr>
          <w:rFonts w:hint="default" w:ascii="Times New Roman" w:hAnsi="Times New Roman" w:eastAsia="仿宋" w:cs="Times New Roman"/>
          <w:color w:val="auto"/>
          <w:sz w:val="32"/>
          <w:szCs w:val="32"/>
          <w:highlight w:val="none"/>
          <w:lang w:val="en-US" w:eastAsia="zh-CN"/>
        </w:rPr>
        <w:t>3</w:t>
      </w:r>
      <w:r>
        <w:rPr>
          <w:rFonts w:hint="default" w:ascii="Times New Roman" w:hAnsi="Times New Roman" w:eastAsia="仿宋" w:cs="Times New Roman"/>
          <w:color w:val="auto"/>
          <w:sz w:val="32"/>
          <w:szCs w:val="32"/>
          <w:highlight w:val="none"/>
        </w:rPr>
        <w:t>年</w:t>
      </w:r>
      <w:r>
        <w:rPr>
          <w:rFonts w:hint="default" w:ascii="Times New Roman" w:hAnsi="Times New Roman" w:eastAsia="仿宋" w:cs="Times New Roman"/>
          <w:color w:val="auto"/>
          <w:sz w:val="32"/>
          <w:szCs w:val="32"/>
          <w:highlight w:val="none"/>
          <w:lang w:eastAsia="zh-CN"/>
        </w:rPr>
        <w:t>度</w:t>
      </w:r>
      <w:r>
        <w:rPr>
          <w:rFonts w:hint="default" w:ascii="Times New Roman" w:hAnsi="Times New Roman" w:eastAsia="仿宋" w:cs="Times New Roman"/>
          <w:color w:val="auto"/>
          <w:sz w:val="32"/>
          <w:szCs w:val="32"/>
          <w:highlight w:val="none"/>
        </w:rPr>
        <w:t>相比，收、支总计各</w:t>
      </w:r>
      <w:r>
        <w:rPr>
          <w:rFonts w:hint="default" w:ascii="Times New Roman" w:hAnsi="Times New Roman" w:eastAsia="仿宋" w:cs="Times New Roman"/>
          <w:color w:val="auto"/>
          <w:sz w:val="32"/>
          <w:szCs w:val="32"/>
          <w:highlight w:val="none"/>
          <w:lang w:eastAsia="zh-CN"/>
        </w:rPr>
        <w:t>减少</w:t>
      </w:r>
      <w:r>
        <w:rPr>
          <w:rFonts w:hint="default" w:ascii="Times New Roman" w:hAnsi="Times New Roman" w:eastAsia="仿宋" w:cs="Times New Roman"/>
          <w:color w:val="auto"/>
          <w:sz w:val="32"/>
          <w:szCs w:val="32"/>
          <w:highlight w:val="none"/>
          <w:lang w:val="en-US" w:eastAsia="zh-CN"/>
        </w:rPr>
        <w:t>73.86</w:t>
      </w:r>
      <w:r>
        <w:rPr>
          <w:rFonts w:hint="default" w:ascii="Times New Roman" w:hAnsi="Times New Roman" w:eastAsia="仿宋" w:cs="Times New Roman"/>
          <w:color w:val="auto"/>
          <w:sz w:val="32"/>
          <w:szCs w:val="32"/>
          <w:highlight w:val="none"/>
          <w:lang w:eastAsia="zh-CN"/>
        </w:rPr>
        <w:t>万元，下降</w:t>
      </w:r>
      <w:r>
        <w:rPr>
          <w:rFonts w:hint="default" w:ascii="Times New Roman" w:hAnsi="Times New Roman" w:eastAsia="仿宋" w:cs="Times New Roman"/>
          <w:color w:val="auto"/>
          <w:sz w:val="32"/>
          <w:szCs w:val="32"/>
          <w:highlight w:val="none"/>
          <w:lang w:val="en-US" w:eastAsia="zh-CN"/>
        </w:rPr>
        <w:t>4.75</w:t>
      </w:r>
      <w:r>
        <w:rPr>
          <w:rFonts w:hint="default" w:ascii="Times New Roman" w:hAnsi="Times New Roman" w:eastAsia="仿宋" w:cs="Times New Roman"/>
          <w:color w:val="auto"/>
          <w:sz w:val="32"/>
          <w:szCs w:val="32"/>
          <w:highlight w:val="none"/>
          <w:lang w:eastAsia="zh-CN"/>
        </w:rPr>
        <w:t>%。主要变动原因是人员经费减少</w:t>
      </w:r>
      <w:r>
        <w:rPr>
          <w:rFonts w:hint="default" w:ascii="Times New Roman" w:hAnsi="Times New Roman" w:eastAsia="仿宋" w:cs="Times New Roman"/>
          <w:color w:val="auto"/>
          <w:sz w:val="32"/>
          <w:szCs w:val="32"/>
          <w:highlight w:val="none"/>
          <w:lang w:val="en-US" w:eastAsia="zh-CN"/>
        </w:rPr>
        <w:t>。</w:t>
      </w:r>
    </w:p>
    <w:p w14:paraId="4408A47D">
      <w:pPr>
        <w:keepNext w:val="0"/>
        <w:keepLines w:val="0"/>
        <w:pageBreakBefore w:val="0"/>
        <w:widowControl w:val="0"/>
        <w:kinsoku/>
        <w:wordWrap/>
        <w:overflowPunct/>
        <w:topLinePunct w:val="0"/>
        <w:autoSpaceDE/>
        <w:autoSpaceDN/>
        <w:bidi w:val="0"/>
        <w:adjustRightInd/>
        <w:snapToGrid/>
        <w:ind w:firstLine="420" w:firstLineChars="200"/>
        <w:jc w:val="center"/>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cs="Times New Roman"/>
        </w:rPr>
        <w:drawing>
          <wp:inline distT="0" distB="0" distL="114300" distR="114300">
            <wp:extent cx="4826000" cy="2743200"/>
            <wp:effectExtent l="4445" t="4445" r="8255" b="14605"/>
            <wp:docPr id="2" name="图表 1" descr="7b0a202020202263686172745265734964223a20223530303533343239220a7d0a"/>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14:paraId="6EC4102B">
      <w:pPr>
        <w:pStyle w:val="30"/>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outlineLvl w:val="1"/>
        <w:rPr>
          <w:rFonts w:hint="default" w:ascii="Times New Roman" w:hAnsi="Times New Roman" w:eastAsia="黑体" w:cs="Times New Roman"/>
          <w:color w:val="auto"/>
          <w:sz w:val="32"/>
          <w:szCs w:val="32"/>
          <w:highlight w:val="none"/>
          <w:lang w:eastAsia="zh-CN"/>
        </w:rPr>
      </w:pPr>
      <w:bookmarkStart w:id="20" w:name="_Toc15396604"/>
      <w:bookmarkStart w:id="21" w:name="_Toc15377206"/>
      <w:r>
        <w:rPr>
          <w:rFonts w:hint="default" w:ascii="Times New Roman" w:hAnsi="Times New Roman" w:eastAsia="黑体" w:cs="Times New Roman"/>
          <w:color w:val="auto"/>
          <w:sz w:val="32"/>
          <w:szCs w:val="32"/>
          <w:highlight w:val="none"/>
          <w:lang w:eastAsia="zh-CN"/>
        </w:rPr>
        <w:t>二、收入决算情况说明</w:t>
      </w:r>
      <w:bookmarkEnd w:id="20"/>
      <w:bookmarkEnd w:id="21"/>
    </w:p>
    <w:p w14:paraId="681B28F8">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1"/>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lang w:eastAsia="zh-CN"/>
        </w:rPr>
        <w:t>202</w:t>
      </w:r>
      <w:r>
        <w:rPr>
          <w:rFonts w:hint="default" w:ascii="Times New Roman" w:hAnsi="Times New Roman" w:eastAsia="仿宋" w:cs="Times New Roman"/>
          <w:color w:val="auto"/>
          <w:sz w:val="32"/>
          <w:szCs w:val="32"/>
          <w:highlight w:val="none"/>
          <w:lang w:val="en-US" w:eastAsia="zh-CN"/>
        </w:rPr>
        <w:t>4</w:t>
      </w:r>
      <w:r>
        <w:rPr>
          <w:rFonts w:hint="default" w:ascii="Times New Roman" w:hAnsi="Times New Roman" w:eastAsia="仿宋" w:cs="Times New Roman"/>
          <w:color w:val="auto"/>
          <w:sz w:val="32"/>
          <w:szCs w:val="32"/>
          <w:highlight w:val="none"/>
        </w:rPr>
        <w:t>年</w:t>
      </w:r>
      <w:r>
        <w:rPr>
          <w:rFonts w:hint="default" w:ascii="Times New Roman" w:hAnsi="Times New Roman" w:eastAsia="仿宋" w:cs="Times New Roman"/>
          <w:color w:val="auto"/>
          <w:sz w:val="32"/>
          <w:szCs w:val="32"/>
          <w:highlight w:val="none"/>
          <w:lang w:eastAsia="zh-CN"/>
        </w:rPr>
        <w:t>度</w:t>
      </w:r>
      <w:r>
        <w:rPr>
          <w:rFonts w:hint="default" w:ascii="Times New Roman" w:hAnsi="Times New Roman" w:eastAsia="仿宋" w:cs="Times New Roman"/>
          <w:color w:val="auto"/>
          <w:sz w:val="32"/>
          <w:szCs w:val="32"/>
          <w:highlight w:val="none"/>
        </w:rPr>
        <w:t>本年收入合计</w:t>
      </w:r>
      <w:r>
        <w:rPr>
          <w:rFonts w:hint="default" w:ascii="Times New Roman" w:hAnsi="Times New Roman" w:eastAsia="仿宋" w:cs="Times New Roman"/>
          <w:color w:val="auto"/>
          <w:sz w:val="32"/>
          <w:szCs w:val="32"/>
          <w:highlight w:val="none"/>
          <w:lang w:val="en-US" w:eastAsia="zh-CN"/>
        </w:rPr>
        <w:t>1482.05</w:t>
      </w:r>
      <w:r>
        <w:rPr>
          <w:rFonts w:hint="default" w:ascii="Times New Roman" w:hAnsi="Times New Roman" w:eastAsia="仿宋" w:cs="Times New Roman"/>
          <w:color w:val="auto"/>
          <w:sz w:val="32"/>
          <w:szCs w:val="32"/>
          <w:highlight w:val="none"/>
        </w:rPr>
        <w:t>万元，其中：一般公共预算财政拨款收入</w:t>
      </w:r>
      <w:r>
        <w:rPr>
          <w:rFonts w:hint="default" w:ascii="Times New Roman" w:hAnsi="Times New Roman" w:eastAsia="仿宋" w:cs="Times New Roman"/>
          <w:color w:val="auto"/>
          <w:sz w:val="32"/>
          <w:szCs w:val="32"/>
          <w:highlight w:val="none"/>
          <w:lang w:val="en-US" w:eastAsia="zh-CN"/>
        </w:rPr>
        <w:t>1482.02</w:t>
      </w:r>
      <w:r>
        <w:rPr>
          <w:rFonts w:hint="default" w:ascii="Times New Roman" w:hAnsi="Times New Roman" w:eastAsia="仿宋" w:cs="Times New Roman"/>
          <w:color w:val="auto"/>
          <w:sz w:val="32"/>
          <w:szCs w:val="32"/>
          <w:highlight w:val="none"/>
        </w:rPr>
        <w:t>万元，占</w:t>
      </w:r>
      <w:r>
        <w:rPr>
          <w:rFonts w:hint="default" w:ascii="Times New Roman" w:hAnsi="Times New Roman" w:eastAsia="仿宋" w:cs="Times New Roman"/>
          <w:color w:val="auto"/>
          <w:sz w:val="32"/>
          <w:szCs w:val="32"/>
          <w:highlight w:val="none"/>
          <w:lang w:val="en-US" w:eastAsia="zh-CN"/>
        </w:rPr>
        <w:t>99.99</w:t>
      </w:r>
      <w:r>
        <w:rPr>
          <w:rFonts w:hint="default" w:ascii="Times New Roman" w:hAnsi="Times New Roman" w:eastAsia="仿宋" w:cs="Times New Roman"/>
          <w:color w:val="auto"/>
          <w:sz w:val="32"/>
          <w:szCs w:val="32"/>
          <w:highlight w:val="none"/>
        </w:rPr>
        <w:t>%；政府性基金预算财政拨款收入</w:t>
      </w:r>
      <w:r>
        <w:rPr>
          <w:rFonts w:hint="default" w:ascii="Times New Roman" w:hAnsi="Times New Roman" w:eastAsia="仿宋" w:cs="Times New Roman"/>
          <w:color w:val="auto"/>
          <w:sz w:val="32"/>
          <w:szCs w:val="32"/>
          <w:highlight w:val="none"/>
          <w:lang w:val="en-US" w:eastAsia="zh-CN"/>
        </w:rPr>
        <w:t>0</w:t>
      </w:r>
      <w:r>
        <w:rPr>
          <w:rFonts w:hint="default" w:ascii="Times New Roman" w:hAnsi="Times New Roman" w:eastAsia="仿宋" w:cs="Times New Roman"/>
          <w:color w:val="auto"/>
          <w:sz w:val="32"/>
          <w:szCs w:val="32"/>
          <w:highlight w:val="none"/>
        </w:rPr>
        <w:t>万元，占</w:t>
      </w:r>
      <w:r>
        <w:rPr>
          <w:rFonts w:hint="default" w:ascii="Times New Roman" w:hAnsi="Times New Roman" w:eastAsia="仿宋" w:cs="Times New Roman"/>
          <w:color w:val="auto"/>
          <w:sz w:val="32"/>
          <w:szCs w:val="32"/>
          <w:highlight w:val="none"/>
          <w:lang w:val="en-US" w:eastAsia="zh-CN"/>
        </w:rPr>
        <w:t>0</w:t>
      </w:r>
      <w:r>
        <w:rPr>
          <w:rFonts w:hint="default" w:ascii="Times New Roman" w:hAnsi="Times New Roman" w:eastAsia="仿宋" w:cs="Times New Roman"/>
          <w:color w:val="auto"/>
          <w:sz w:val="32"/>
          <w:szCs w:val="32"/>
          <w:highlight w:val="none"/>
        </w:rPr>
        <w:t>%；</w:t>
      </w:r>
      <w:r>
        <w:rPr>
          <w:rFonts w:hint="default" w:ascii="Times New Roman" w:hAnsi="Times New Roman" w:eastAsia="仿宋" w:cs="Times New Roman"/>
          <w:color w:val="auto"/>
          <w:sz w:val="32"/>
          <w:szCs w:val="32"/>
          <w:highlight w:val="none"/>
          <w:lang w:eastAsia="zh-CN"/>
        </w:rPr>
        <w:t>国有资本经营预算财政拨款收入</w:t>
      </w:r>
      <w:r>
        <w:rPr>
          <w:rFonts w:hint="default" w:ascii="Times New Roman" w:hAnsi="Times New Roman" w:eastAsia="仿宋" w:cs="Times New Roman"/>
          <w:color w:val="auto"/>
          <w:sz w:val="32"/>
          <w:szCs w:val="32"/>
          <w:highlight w:val="none"/>
          <w:lang w:val="en-US" w:eastAsia="zh-CN"/>
        </w:rPr>
        <w:t>0</w:t>
      </w:r>
      <w:r>
        <w:rPr>
          <w:rFonts w:hint="default" w:ascii="Times New Roman" w:hAnsi="Times New Roman" w:eastAsia="仿宋" w:cs="Times New Roman"/>
          <w:color w:val="auto"/>
          <w:sz w:val="32"/>
          <w:szCs w:val="32"/>
          <w:highlight w:val="none"/>
        </w:rPr>
        <w:t>万元，占</w:t>
      </w:r>
      <w:r>
        <w:rPr>
          <w:rFonts w:hint="default" w:ascii="Times New Roman" w:hAnsi="Times New Roman" w:eastAsia="仿宋" w:cs="Times New Roman"/>
          <w:color w:val="auto"/>
          <w:sz w:val="32"/>
          <w:szCs w:val="32"/>
          <w:highlight w:val="none"/>
          <w:lang w:val="en-US" w:eastAsia="zh-CN"/>
        </w:rPr>
        <w:t>0</w:t>
      </w:r>
      <w:r>
        <w:rPr>
          <w:rFonts w:hint="default" w:ascii="Times New Roman" w:hAnsi="Times New Roman" w:eastAsia="仿宋" w:cs="Times New Roman"/>
          <w:color w:val="auto"/>
          <w:sz w:val="32"/>
          <w:szCs w:val="32"/>
          <w:highlight w:val="none"/>
        </w:rPr>
        <w:t>%；上级补助收入</w:t>
      </w:r>
      <w:r>
        <w:rPr>
          <w:rFonts w:hint="default" w:ascii="Times New Roman" w:hAnsi="Times New Roman" w:eastAsia="仿宋" w:cs="Times New Roman"/>
          <w:color w:val="auto"/>
          <w:sz w:val="32"/>
          <w:szCs w:val="32"/>
          <w:highlight w:val="none"/>
          <w:lang w:val="en-US" w:eastAsia="zh-CN"/>
        </w:rPr>
        <w:t>0</w:t>
      </w:r>
      <w:r>
        <w:rPr>
          <w:rFonts w:hint="default" w:ascii="Times New Roman" w:hAnsi="Times New Roman" w:eastAsia="仿宋" w:cs="Times New Roman"/>
          <w:color w:val="auto"/>
          <w:sz w:val="32"/>
          <w:szCs w:val="32"/>
          <w:highlight w:val="none"/>
        </w:rPr>
        <w:t>万元，占</w:t>
      </w:r>
      <w:r>
        <w:rPr>
          <w:rFonts w:hint="default" w:ascii="Times New Roman" w:hAnsi="Times New Roman" w:eastAsia="仿宋" w:cs="Times New Roman"/>
          <w:color w:val="auto"/>
          <w:sz w:val="32"/>
          <w:szCs w:val="32"/>
          <w:highlight w:val="none"/>
          <w:lang w:val="en-US" w:eastAsia="zh-CN"/>
        </w:rPr>
        <w:t>0</w:t>
      </w:r>
      <w:r>
        <w:rPr>
          <w:rFonts w:hint="default" w:ascii="Times New Roman" w:hAnsi="Times New Roman" w:eastAsia="仿宋" w:cs="Times New Roman"/>
          <w:color w:val="auto"/>
          <w:sz w:val="32"/>
          <w:szCs w:val="32"/>
          <w:highlight w:val="none"/>
        </w:rPr>
        <w:t>%；事业收入</w:t>
      </w:r>
      <w:r>
        <w:rPr>
          <w:rFonts w:hint="default" w:ascii="Times New Roman" w:hAnsi="Times New Roman" w:eastAsia="仿宋" w:cs="Times New Roman"/>
          <w:color w:val="auto"/>
          <w:sz w:val="32"/>
          <w:szCs w:val="32"/>
          <w:highlight w:val="none"/>
          <w:lang w:val="en-US" w:eastAsia="zh-CN"/>
        </w:rPr>
        <w:t>0</w:t>
      </w:r>
      <w:r>
        <w:rPr>
          <w:rFonts w:hint="default" w:ascii="Times New Roman" w:hAnsi="Times New Roman" w:eastAsia="仿宋" w:cs="Times New Roman"/>
          <w:color w:val="auto"/>
          <w:sz w:val="32"/>
          <w:szCs w:val="32"/>
          <w:highlight w:val="none"/>
        </w:rPr>
        <w:t>万元，占</w:t>
      </w:r>
      <w:r>
        <w:rPr>
          <w:rFonts w:hint="default" w:ascii="Times New Roman" w:hAnsi="Times New Roman" w:eastAsia="仿宋" w:cs="Times New Roman"/>
          <w:color w:val="auto"/>
          <w:sz w:val="32"/>
          <w:szCs w:val="32"/>
          <w:highlight w:val="none"/>
          <w:lang w:val="en-US" w:eastAsia="zh-CN"/>
        </w:rPr>
        <w:t>0</w:t>
      </w:r>
      <w:r>
        <w:rPr>
          <w:rFonts w:hint="default" w:ascii="Times New Roman" w:hAnsi="Times New Roman" w:eastAsia="仿宋" w:cs="Times New Roman"/>
          <w:color w:val="auto"/>
          <w:sz w:val="32"/>
          <w:szCs w:val="32"/>
          <w:highlight w:val="none"/>
        </w:rPr>
        <w:t>%；经营收入</w:t>
      </w:r>
      <w:r>
        <w:rPr>
          <w:rFonts w:hint="default" w:ascii="Times New Roman" w:hAnsi="Times New Roman" w:eastAsia="仿宋" w:cs="Times New Roman"/>
          <w:color w:val="auto"/>
          <w:sz w:val="32"/>
          <w:szCs w:val="32"/>
          <w:highlight w:val="none"/>
          <w:lang w:val="en-US" w:eastAsia="zh-CN"/>
        </w:rPr>
        <w:t>0</w:t>
      </w:r>
      <w:r>
        <w:rPr>
          <w:rFonts w:hint="default" w:ascii="Times New Roman" w:hAnsi="Times New Roman" w:eastAsia="仿宋" w:cs="Times New Roman"/>
          <w:color w:val="auto"/>
          <w:sz w:val="32"/>
          <w:szCs w:val="32"/>
          <w:highlight w:val="none"/>
        </w:rPr>
        <w:t>万元，占</w:t>
      </w:r>
      <w:r>
        <w:rPr>
          <w:rFonts w:hint="default" w:ascii="Times New Roman" w:hAnsi="Times New Roman" w:eastAsia="仿宋" w:cs="Times New Roman"/>
          <w:color w:val="auto"/>
          <w:sz w:val="32"/>
          <w:szCs w:val="32"/>
          <w:highlight w:val="none"/>
          <w:lang w:val="en-US" w:eastAsia="zh-CN"/>
        </w:rPr>
        <w:t>0</w:t>
      </w:r>
      <w:r>
        <w:rPr>
          <w:rFonts w:hint="default" w:ascii="Times New Roman" w:hAnsi="Times New Roman" w:eastAsia="仿宋" w:cs="Times New Roman"/>
          <w:color w:val="auto"/>
          <w:sz w:val="32"/>
          <w:szCs w:val="32"/>
          <w:highlight w:val="none"/>
        </w:rPr>
        <w:t>%；附属单位上缴收入</w:t>
      </w:r>
      <w:r>
        <w:rPr>
          <w:rFonts w:hint="default" w:ascii="Times New Roman" w:hAnsi="Times New Roman" w:eastAsia="仿宋" w:cs="Times New Roman"/>
          <w:color w:val="auto"/>
          <w:sz w:val="32"/>
          <w:szCs w:val="32"/>
          <w:highlight w:val="none"/>
          <w:lang w:val="en-US" w:eastAsia="zh-CN"/>
        </w:rPr>
        <w:t>0</w:t>
      </w:r>
      <w:r>
        <w:rPr>
          <w:rFonts w:hint="default" w:ascii="Times New Roman" w:hAnsi="Times New Roman" w:eastAsia="仿宋" w:cs="Times New Roman"/>
          <w:color w:val="auto"/>
          <w:sz w:val="32"/>
          <w:szCs w:val="32"/>
          <w:highlight w:val="none"/>
        </w:rPr>
        <w:t>万元，占</w:t>
      </w:r>
      <w:r>
        <w:rPr>
          <w:rFonts w:hint="default" w:ascii="Times New Roman" w:hAnsi="Times New Roman" w:eastAsia="仿宋" w:cs="Times New Roman"/>
          <w:color w:val="auto"/>
          <w:sz w:val="32"/>
          <w:szCs w:val="32"/>
          <w:highlight w:val="none"/>
          <w:lang w:val="en-US" w:eastAsia="zh-CN"/>
        </w:rPr>
        <w:t>0</w:t>
      </w:r>
      <w:r>
        <w:rPr>
          <w:rFonts w:hint="default" w:ascii="Times New Roman" w:hAnsi="Times New Roman" w:eastAsia="仿宋" w:cs="Times New Roman"/>
          <w:color w:val="auto"/>
          <w:sz w:val="32"/>
          <w:szCs w:val="32"/>
          <w:highlight w:val="none"/>
        </w:rPr>
        <w:t>%；其他收入</w:t>
      </w:r>
      <w:r>
        <w:rPr>
          <w:rFonts w:hint="default" w:ascii="Times New Roman" w:hAnsi="Times New Roman" w:eastAsia="仿宋" w:cs="Times New Roman"/>
          <w:color w:val="auto"/>
          <w:sz w:val="32"/>
          <w:szCs w:val="32"/>
          <w:highlight w:val="none"/>
          <w:lang w:val="en-US" w:eastAsia="zh-CN"/>
        </w:rPr>
        <w:t>0.03</w:t>
      </w:r>
      <w:r>
        <w:rPr>
          <w:rFonts w:hint="default" w:ascii="Times New Roman" w:hAnsi="Times New Roman" w:eastAsia="仿宋" w:cs="Times New Roman"/>
          <w:color w:val="auto"/>
          <w:sz w:val="32"/>
          <w:szCs w:val="32"/>
          <w:highlight w:val="none"/>
        </w:rPr>
        <w:t>万元，占</w:t>
      </w:r>
      <w:r>
        <w:rPr>
          <w:rFonts w:hint="default" w:ascii="Times New Roman" w:hAnsi="Times New Roman" w:eastAsia="仿宋" w:cs="Times New Roman"/>
          <w:color w:val="auto"/>
          <w:sz w:val="32"/>
          <w:szCs w:val="32"/>
          <w:highlight w:val="none"/>
          <w:lang w:val="en-US" w:eastAsia="zh-CN"/>
        </w:rPr>
        <w:t>0.01</w:t>
      </w:r>
      <w:r>
        <w:rPr>
          <w:rFonts w:hint="default" w:ascii="Times New Roman" w:hAnsi="Times New Roman" w:eastAsia="仿宋" w:cs="Times New Roman"/>
          <w:color w:val="auto"/>
          <w:sz w:val="32"/>
          <w:szCs w:val="32"/>
          <w:highlight w:val="none"/>
        </w:rPr>
        <w:t>%。</w:t>
      </w:r>
    </w:p>
    <w:p w14:paraId="0FCE5888">
      <w:pPr>
        <w:ind w:firstLine="800" w:firstLineChars="250"/>
        <w:rPr>
          <w:rFonts w:hint="default" w:ascii="Times New Roman" w:hAnsi="Times New Roman" w:eastAsia="仿宋_GB2312" w:cs="Times New Roman"/>
          <w:color w:val="auto"/>
          <w:sz w:val="32"/>
          <w:szCs w:val="32"/>
          <w:highlight w:val="none"/>
          <w:lang w:eastAsia="zh-CN"/>
        </w:rPr>
      </w:pPr>
    </w:p>
    <w:p w14:paraId="6A9EBDA6">
      <w:pPr>
        <w:ind w:firstLine="525" w:firstLineChars="250"/>
        <w:jc w:val="center"/>
        <w:rPr>
          <w:rFonts w:hint="default" w:ascii="Times New Roman" w:hAnsi="Times New Roman" w:eastAsia="仿宋_GB2312" w:cs="Times New Roman"/>
          <w:color w:val="auto"/>
          <w:sz w:val="32"/>
          <w:szCs w:val="32"/>
          <w:highlight w:val="none"/>
          <w:lang w:eastAsia="zh-CN"/>
        </w:rPr>
      </w:pPr>
      <w:r>
        <w:rPr>
          <w:rFonts w:hint="default" w:ascii="Times New Roman" w:hAnsi="Times New Roman" w:cs="Times New Roman"/>
        </w:rPr>
        <w:drawing>
          <wp:inline distT="0" distB="0" distL="114300" distR="114300">
            <wp:extent cx="4826000" cy="2743200"/>
            <wp:effectExtent l="4445" t="4445" r="8255" b="14605"/>
            <wp:docPr id="3" name="图表 2" descr="7b0a202020202263686172745265734964223a20223230343736383831220a7d0a"/>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14:paraId="54ADAC65">
      <w:pPr>
        <w:pStyle w:val="30"/>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outlineLvl w:val="1"/>
        <w:rPr>
          <w:rStyle w:val="32"/>
          <w:rFonts w:hint="default" w:ascii="Times New Roman" w:hAnsi="Times New Roman" w:eastAsia="黑体" w:cs="Times New Roman"/>
          <w:b w:val="0"/>
          <w:color w:val="auto"/>
          <w:highlight w:val="none"/>
        </w:rPr>
      </w:pPr>
      <w:bookmarkStart w:id="22" w:name="_Toc15377207"/>
      <w:bookmarkStart w:id="23" w:name="_Toc15396605"/>
      <w:r>
        <w:rPr>
          <w:rFonts w:hint="default" w:ascii="Times New Roman" w:hAnsi="Times New Roman" w:eastAsia="黑体" w:cs="Times New Roman"/>
          <w:color w:val="auto"/>
          <w:sz w:val="32"/>
          <w:szCs w:val="32"/>
          <w:highlight w:val="none"/>
          <w:lang w:eastAsia="zh-CN"/>
        </w:rPr>
        <w:t>三、</w:t>
      </w:r>
      <w:r>
        <w:rPr>
          <w:rFonts w:hint="default" w:ascii="Times New Roman" w:hAnsi="Times New Roman" w:eastAsia="黑体" w:cs="Times New Roman"/>
          <w:color w:val="auto"/>
          <w:sz w:val="32"/>
          <w:szCs w:val="32"/>
          <w:highlight w:val="none"/>
        </w:rPr>
        <w:t>支</w:t>
      </w:r>
      <w:r>
        <w:rPr>
          <w:rStyle w:val="32"/>
          <w:rFonts w:hint="default" w:ascii="Times New Roman" w:hAnsi="Times New Roman" w:eastAsia="黑体" w:cs="Times New Roman"/>
          <w:b w:val="0"/>
          <w:color w:val="auto"/>
          <w:highlight w:val="none"/>
        </w:rPr>
        <w:t>出决算情况说明</w:t>
      </w:r>
      <w:bookmarkEnd w:id="22"/>
      <w:bookmarkEnd w:id="23"/>
    </w:p>
    <w:p w14:paraId="4EA5DEAC">
      <w:pPr>
        <w:pStyle w:val="30"/>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left"/>
        <w:textAlignment w:val="auto"/>
        <w:outlineLvl w:val="1"/>
        <w:rPr>
          <w:rFonts w:hint="default"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lang w:eastAsia="zh-CN"/>
        </w:rPr>
        <w:t>2024年度本年支出合计</w:t>
      </w:r>
      <w:r>
        <w:rPr>
          <w:rFonts w:hint="default" w:ascii="Times New Roman" w:hAnsi="Times New Roman" w:eastAsia="仿宋_GB2312" w:cs="Times New Roman"/>
          <w:sz w:val="32"/>
          <w:szCs w:val="32"/>
        </w:rPr>
        <w:t>1482.05</w:t>
      </w:r>
      <w:r>
        <w:rPr>
          <w:rFonts w:hint="default" w:ascii="Times New Roman" w:hAnsi="Times New Roman" w:eastAsia="仿宋_GB2312" w:cs="Times New Roman"/>
          <w:color w:val="auto"/>
          <w:sz w:val="32"/>
          <w:szCs w:val="32"/>
          <w:highlight w:val="none"/>
          <w:lang w:eastAsia="zh-CN"/>
        </w:rPr>
        <w:t>万元，其中：基本支出</w:t>
      </w:r>
      <w:r>
        <w:rPr>
          <w:rFonts w:hint="default" w:ascii="Times New Roman" w:hAnsi="Times New Roman" w:eastAsia="仿宋_GB2312" w:cs="Times New Roman"/>
          <w:sz w:val="32"/>
          <w:szCs w:val="32"/>
        </w:rPr>
        <w:t>1377.77</w:t>
      </w:r>
      <w:r>
        <w:rPr>
          <w:rFonts w:hint="default" w:ascii="Times New Roman" w:hAnsi="Times New Roman" w:eastAsia="仿宋_GB2312" w:cs="Times New Roman"/>
          <w:color w:val="auto"/>
          <w:sz w:val="32"/>
          <w:szCs w:val="32"/>
          <w:highlight w:val="none"/>
          <w:lang w:eastAsia="zh-CN"/>
        </w:rPr>
        <w:t>万元，占</w:t>
      </w:r>
      <w:r>
        <w:rPr>
          <w:rFonts w:hint="default" w:ascii="Times New Roman" w:hAnsi="Times New Roman" w:eastAsia="仿宋_GB2312" w:cs="Times New Roman"/>
          <w:sz w:val="32"/>
          <w:szCs w:val="32"/>
        </w:rPr>
        <w:t>92.96</w:t>
      </w:r>
      <w:r>
        <w:rPr>
          <w:rFonts w:hint="default" w:ascii="Times New Roman" w:hAnsi="Times New Roman" w:eastAsia="仿宋_GB2312" w:cs="Times New Roman"/>
          <w:color w:val="auto"/>
          <w:sz w:val="32"/>
          <w:szCs w:val="32"/>
          <w:highlight w:val="none"/>
          <w:lang w:eastAsia="zh-CN"/>
        </w:rPr>
        <w:t>%；项目支出</w:t>
      </w:r>
      <w:r>
        <w:rPr>
          <w:rFonts w:hint="default" w:ascii="Times New Roman" w:hAnsi="Times New Roman" w:eastAsia="仿宋_GB2312" w:cs="Times New Roman"/>
          <w:sz w:val="32"/>
          <w:szCs w:val="32"/>
        </w:rPr>
        <w:t>104.28</w:t>
      </w:r>
      <w:r>
        <w:rPr>
          <w:rFonts w:hint="default" w:ascii="Times New Roman" w:hAnsi="Times New Roman" w:eastAsia="仿宋_GB2312" w:cs="Times New Roman"/>
          <w:color w:val="auto"/>
          <w:sz w:val="32"/>
          <w:szCs w:val="32"/>
          <w:highlight w:val="none"/>
          <w:lang w:eastAsia="zh-CN"/>
        </w:rPr>
        <w:t>万元，占</w:t>
      </w:r>
      <w:r>
        <w:rPr>
          <w:rFonts w:hint="default" w:ascii="Times New Roman" w:hAnsi="Times New Roman" w:eastAsia="仿宋_GB2312" w:cs="Times New Roman"/>
          <w:sz w:val="32"/>
          <w:szCs w:val="32"/>
        </w:rPr>
        <w:t>7.0</w:t>
      </w:r>
      <w:r>
        <w:rPr>
          <w:rFonts w:hint="default" w:ascii="Times New Roman" w:hAnsi="Times New Roman" w:eastAsia="仿宋_GB2312" w:cs="Times New Roman"/>
          <w:sz w:val="32"/>
          <w:szCs w:val="32"/>
          <w:lang w:val="en-US" w:eastAsia="zh-CN"/>
        </w:rPr>
        <w:t>4</w:t>
      </w:r>
      <w:r>
        <w:rPr>
          <w:rFonts w:hint="default" w:ascii="Times New Roman" w:hAnsi="Times New Roman" w:eastAsia="仿宋_GB2312" w:cs="Times New Roman"/>
          <w:color w:val="auto"/>
          <w:sz w:val="32"/>
          <w:szCs w:val="32"/>
          <w:highlight w:val="none"/>
          <w:lang w:eastAsia="zh-CN"/>
        </w:rPr>
        <w:t>%；上缴上级支出</w:t>
      </w:r>
      <w:r>
        <w:rPr>
          <w:rFonts w:hint="default" w:ascii="Times New Roman" w:hAnsi="Times New Roman" w:eastAsia="仿宋_GB2312" w:cs="Times New Roman"/>
          <w:sz w:val="32"/>
          <w:szCs w:val="32"/>
        </w:rPr>
        <w:t>0</w:t>
      </w:r>
      <w:r>
        <w:rPr>
          <w:rFonts w:hint="default" w:ascii="Times New Roman" w:hAnsi="Times New Roman" w:eastAsia="仿宋_GB2312" w:cs="Times New Roman"/>
          <w:color w:val="auto"/>
          <w:sz w:val="32"/>
          <w:szCs w:val="32"/>
          <w:highlight w:val="none"/>
          <w:lang w:eastAsia="zh-CN"/>
        </w:rPr>
        <w:t>万元，占</w:t>
      </w:r>
      <w:r>
        <w:rPr>
          <w:rFonts w:hint="default" w:ascii="Times New Roman" w:hAnsi="Times New Roman" w:eastAsia="仿宋_GB2312" w:cs="Times New Roman"/>
          <w:sz w:val="32"/>
          <w:szCs w:val="32"/>
        </w:rPr>
        <w:t>0</w:t>
      </w:r>
      <w:r>
        <w:rPr>
          <w:rFonts w:hint="default" w:ascii="Times New Roman" w:hAnsi="Times New Roman" w:eastAsia="仿宋_GB2312" w:cs="Times New Roman"/>
          <w:color w:val="auto"/>
          <w:sz w:val="32"/>
          <w:szCs w:val="32"/>
          <w:highlight w:val="none"/>
          <w:lang w:eastAsia="zh-CN"/>
        </w:rPr>
        <w:t>%；经营支出</w:t>
      </w:r>
      <w:r>
        <w:rPr>
          <w:rFonts w:hint="default" w:ascii="Times New Roman" w:hAnsi="Times New Roman" w:eastAsia="仿宋_GB2312" w:cs="Times New Roman"/>
          <w:sz w:val="32"/>
          <w:szCs w:val="32"/>
        </w:rPr>
        <w:t>0</w:t>
      </w:r>
      <w:r>
        <w:rPr>
          <w:rFonts w:hint="default" w:ascii="Times New Roman" w:hAnsi="Times New Roman" w:eastAsia="仿宋_GB2312" w:cs="Times New Roman"/>
          <w:color w:val="auto"/>
          <w:sz w:val="32"/>
          <w:szCs w:val="32"/>
          <w:highlight w:val="none"/>
          <w:lang w:eastAsia="zh-CN"/>
        </w:rPr>
        <w:t>万元，占</w:t>
      </w:r>
      <w:r>
        <w:rPr>
          <w:rFonts w:hint="default" w:ascii="Times New Roman" w:hAnsi="Times New Roman" w:eastAsia="仿宋_GB2312" w:cs="Times New Roman"/>
          <w:sz w:val="32"/>
          <w:szCs w:val="32"/>
        </w:rPr>
        <w:t>0</w:t>
      </w:r>
      <w:r>
        <w:rPr>
          <w:rFonts w:hint="default" w:ascii="Times New Roman" w:hAnsi="Times New Roman" w:eastAsia="仿宋_GB2312" w:cs="Times New Roman"/>
          <w:color w:val="auto"/>
          <w:sz w:val="32"/>
          <w:szCs w:val="32"/>
          <w:highlight w:val="none"/>
          <w:lang w:eastAsia="zh-CN"/>
        </w:rPr>
        <w:t>%；对附属单位补助支出</w:t>
      </w:r>
      <w:r>
        <w:rPr>
          <w:rFonts w:hint="default" w:ascii="Times New Roman" w:hAnsi="Times New Roman" w:eastAsia="仿宋_GB2312" w:cs="Times New Roman"/>
          <w:sz w:val="32"/>
          <w:szCs w:val="32"/>
        </w:rPr>
        <w:t>0</w:t>
      </w:r>
      <w:r>
        <w:rPr>
          <w:rFonts w:hint="default" w:ascii="Times New Roman" w:hAnsi="Times New Roman" w:eastAsia="仿宋_GB2312" w:cs="Times New Roman"/>
          <w:color w:val="auto"/>
          <w:sz w:val="32"/>
          <w:szCs w:val="32"/>
          <w:highlight w:val="none"/>
          <w:lang w:eastAsia="zh-CN"/>
        </w:rPr>
        <w:t>万元，占</w:t>
      </w:r>
      <w:r>
        <w:rPr>
          <w:rFonts w:hint="default" w:ascii="Times New Roman" w:hAnsi="Times New Roman" w:eastAsia="仿宋_GB2312" w:cs="Times New Roman"/>
          <w:sz w:val="32"/>
          <w:szCs w:val="32"/>
        </w:rPr>
        <w:t>0%</w:t>
      </w:r>
      <w:r>
        <w:rPr>
          <w:rFonts w:hint="default" w:ascii="Times New Roman" w:hAnsi="Times New Roman" w:eastAsia="仿宋_GB2312" w:cs="Times New Roman"/>
          <w:color w:val="auto"/>
          <w:sz w:val="32"/>
          <w:szCs w:val="32"/>
          <w:highlight w:val="none"/>
          <w:lang w:eastAsia="zh-CN"/>
        </w:rPr>
        <w:t>。</w:t>
      </w:r>
    </w:p>
    <w:p w14:paraId="3C41AFF5">
      <w:pPr>
        <w:ind w:firstLine="525" w:firstLineChars="250"/>
        <w:jc w:val="center"/>
        <w:rPr>
          <w:rFonts w:hint="default" w:ascii="Times New Roman" w:hAnsi="Times New Roman" w:eastAsia="仿宋_GB2312" w:cs="Times New Roman"/>
          <w:color w:val="auto"/>
          <w:sz w:val="32"/>
          <w:szCs w:val="32"/>
          <w:highlight w:val="none"/>
          <w:lang w:eastAsia="zh-CN"/>
        </w:rPr>
      </w:pPr>
      <w:r>
        <w:rPr>
          <w:rFonts w:hint="default" w:ascii="Times New Roman" w:hAnsi="Times New Roman" w:cs="Times New Roman"/>
        </w:rPr>
        <w:drawing>
          <wp:inline distT="0" distB="0" distL="114300" distR="114300">
            <wp:extent cx="4826000" cy="2743200"/>
            <wp:effectExtent l="4445" t="4445" r="8255" b="14605"/>
            <wp:docPr id="4" name="图表 3" descr="7b0a202020202263686172745265734964223a20223230343735353931220a7d0a"/>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5F6C69BC">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1"/>
        <w:rPr>
          <w:rStyle w:val="32"/>
          <w:rFonts w:hint="default" w:ascii="Times New Roman" w:hAnsi="Times New Roman" w:eastAsia="黑体" w:cs="Times New Roman"/>
          <w:b w:val="0"/>
          <w:color w:val="auto"/>
          <w:highlight w:val="none"/>
        </w:rPr>
      </w:pPr>
      <w:bookmarkStart w:id="24" w:name="_Toc15377208"/>
      <w:bookmarkStart w:id="25" w:name="_Toc15396606"/>
      <w:r>
        <w:rPr>
          <w:rFonts w:hint="default" w:ascii="Times New Roman" w:hAnsi="Times New Roman" w:eastAsia="黑体" w:cs="Times New Roman"/>
          <w:color w:val="auto"/>
          <w:sz w:val="32"/>
          <w:szCs w:val="32"/>
          <w:highlight w:val="none"/>
        </w:rPr>
        <w:t>四、财</w:t>
      </w:r>
      <w:r>
        <w:rPr>
          <w:rStyle w:val="32"/>
          <w:rFonts w:hint="default" w:ascii="Times New Roman" w:hAnsi="Times New Roman" w:eastAsia="黑体" w:cs="Times New Roman"/>
          <w:b w:val="0"/>
          <w:color w:val="auto"/>
          <w:highlight w:val="none"/>
        </w:rPr>
        <w:t>政拨款收入支出决算总体情况说明</w:t>
      </w:r>
      <w:bookmarkEnd w:id="24"/>
      <w:bookmarkEnd w:id="25"/>
    </w:p>
    <w:p w14:paraId="7163510B">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kern w:val="2"/>
          <w:sz w:val="32"/>
          <w:szCs w:val="32"/>
          <w:highlight w:val="none"/>
          <w:lang w:val="en-US" w:eastAsia="zh-CN" w:bidi="ar-SA"/>
        </w:rPr>
      </w:pPr>
      <w:r>
        <w:rPr>
          <w:rFonts w:hint="default" w:ascii="Times New Roman" w:hAnsi="Times New Roman" w:eastAsia="仿宋_GB2312" w:cs="Times New Roman"/>
          <w:color w:val="auto"/>
          <w:kern w:val="2"/>
          <w:sz w:val="32"/>
          <w:szCs w:val="32"/>
          <w:highlight w:val="none"/>
          <w:lang w:val="en-US" w:eastAsia="zh-CN" w:bidi="ar-SA"/>
        </w:rPr>
        <w:t>2024年度财政拨款收入、支出总计均为</w:t>
      </w:r>
      <w:r>
        <w:rPr>
          <w:rFonts w:hint="default" w:ascii="Times New Roman" w:hAnsi="Times New Roman" w:eastAsia="仿宋_GB2312" w:cs="Times New Roman"/>
          <w:sz w:val="32"/>
          <w:szCs w:val="32"/>
        </w:rPr>
        <w:t>1482.02</w:t>
      </w:r>
      <w:r>
        <w:rPr>
          <w:rFonts w:hint="default" w:ascii="Times New Roman" w:hAnsi="Times New Roman" w:eastAsia="仿宋_GB2312" w:cs="Times New Roman"/>
          <w:color w:val="auto"/>
          <w:kern w:val="2"/>
          <w:sz w:val="32"/>
          <w:szCs w:val="32"/>
          <w:highlight w:val="none"/>
          <w:lang w:val="en-US" w:eastAsia="zh-CN" w:bidi="ar-SA"/>
        </w:rPr>
        <w:t>万元。与2023年度相比，财政拨款收入总计、支出总计各减少73.84万元，下降4.75%。</w:t>
      </w:r>
      <w:r>
        <w:rPr>
          <w:rFonts w:hint="default" w:ascii="Times New Roman" w:hAnsi="Times New Roman" w:eastAsia="仿宋" w:cs="Times New Roman"/>
          <w:color w:val="auto"/>
          <w:sz w:val="32"/>
          <w:szCs w:val="32"/>
          <w:highlight w:val="none"/>
          <w:lang w:eastAsia="zh-CN"/>
        </w:rPr>
        <w:t>主要变动原因是人员经费减少</w:t>
      </w:r>
      <w:r>
        <w:rPr>
          <w:rFonts w:hint="default" w:ascii="Times New Roman" w:hAnsi="Times New Roman" w:eastAsia="仿宋" w:cs="Times New Roman"/>
          <w:color w:val="auto"/>
          <w:sz w:val="32"/>
          <w:szCs w:val="32"/>
          <w:highlight w:val="none"/>
          <w:lang w:val="en-US" w:eastAsia="zh-CN"/>
        </w:rPr>
        <w:t>。</w:t>
      </w:r>
    </w:p>
    <w:p w14:paraId="7483FA14">
      <w:pPr>
        <w:keepNext w:val="0"/>
        <w:keepLines w:val="0"/>
        <w:pageBreakBefore w:val="0"/>
        <w:widowControl w:val="0"/>
        <w:kinsoku/>
        <w:wordWrap/>
        <w:overflowPunct/>
        <w:topLinePunct w:val="0"/>
        <w:autoSpaceDE/>
        <w:autoSpaceDN/>
        <w:bidi w:val="0"/>
        <w:adjustRightInd/>
        <w:snapToGrid/>
        <w:spacing w:line="360" w:lineRule="auto"/>
        <w:ind w:firstLine="640"/>
        <w:jc w:val="center"/>
        <w:textAlignment w:val="auto"/>
        <w:rPr>
          <w:rFonts w:hint="default" w:ascii="Times New Roman" w:hAnsi="Times New Roman" w:eastAsia="仿宋_GB2312" w:cs="Times New Roman"/>
          <w:color w:val="auto"/>
          <w:kern w:val="2"/>
          <w:sz w:val="32"/>
          <w:szCs w:val="32"/>
          <w:highlight w:val="none"/>
          <w:lang w:val="en-US" w:eastAsia="zh-CN" w:bidi="ar-SA"/>
        </w:rPr>
      </w:pPr>
      <w:r>
        <w:rPr>
          <w:rFonts w:hint="default" w:ascii="Times New Roman" w:hAnsi="Times New Roman" w:cs="Times New Roman"/>
        </w:rPr>
        <w:drawing>
          <wp:inline distT="0" distB="0" distL="114300" distR="114300">
            <wp:extent cx="4826000" cy="2743200"/>
            <wp:effectExtent l="4445" t="4445" r="8255" b="14605"/>
            <wp:docPr id="5" name="图表 4" descr="7b0a202020202263686172745265734964223a20223230343736333433220a7d0a"/>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481E6932">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1"/>
        <w:rPr>
          <w:rStyle w:val="32"/>
          <w:rFonts w:hint="default" w:ascii="Times New Roman" w:hAnsi="Times New Roman" w:eastAsia="黑体" w:cs="Times New Roman"/>
          <w:b w:val="0"/>
          <w:color w:val="auto"/>
          <w:highlight w:val="none"/>
        </w:rPr>
      </w:pPr>
      <w:bookmarkStart w:id="26" w:name="_Toc15396607"/>
      <w:bookmarkStart w:id="27" w:name="_Toc15377209"/>
      <w:r>
        <w:rPr>
          <w:rFonts w:hint="default" w:ascii="Times New Roman" w:hAnsi="Times New Roman" w:eastAsia="黑体" w:cs="Times New Roman"/>
          <w:color w:val="auto"/>
          <w:sz w:val="32"/>
          <w:szCs w:val="32"/>
          <w:highlight w:val="none"/>
        </w:rPr>
        <w:t>五、</w:t>
      </w:r>
      <w:r>
        <w:rPr>
          <w:rFonts w:hint="default" w:ascii="Times New Roman" w:hAnsi="Times New Roman" w:eastAsia="黑体" w:cs="Times New Roman"/>
          <w:b/>
          <w:color w:val="auto"/>
          <w:sz w:val="32"/>
          <w:szCs w:val="32"/>
          <w:highlight w:val="none"/>
        </w:rPr>
        <w:t>一</w:t>
      </w:r>
      <w:r>
        <w:rPr>
          <w:rStyle w:val="32"/>
          <w:rFonts w:hint="default" w:ascii="Times New Roman" w:hAnsi="Times New Roman" w:eastAsia="黑体" w:cs="Times New Roman"/>
          <w:b w:val="0"/>
          <w:color w:val="auto"/>
          <w:highlight w:val="none"/>
        </w:rPr>
        <w:t>般公共预算财政拨款支出决算情况说明</w:t>
      </w:r>
      <w:bookmarkEnd w:id="26"/>
      <w:bookmarkEnd w:id="27"/>
    </w:p>
    <w:p w14:paraId="247EABFB">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2"/>
        <w:rPr>
          <w:rFonts w:hint="default" w:ascii="Times New Roman" w:hAnsi="Times New Roman" w:eastAsia="楷体_GB2312" w:cs="Times New Roman"/>
          <w:b/>
          <w:color w:val="auto"/>
          <w:sz w:val="32"/>
          <w:szCs w:val="32"/>
          <w:highlight w:val="none"/>
        </w:rPr>
      </w:pPr>
      <w:bookmarkStart w:id="28" w:name="_Toc15377210"/>
      <w:r>
        <w:rPr>
          <w:rFonts w:hint="default" w:ascii="Times New Roman" w:hAnsi="Times New Roman" w:eastAsia="楷体_GB2312" w:cs="Times New Roman"/>
          <w:b/>
          <w:color w:val="auto"/>
          <w:sz w:val="32"/>
          <w:szCs w:val="32"/>
          <w:highlight w:val="none"/>
        </w:rPr>
        <w:t>（一）一般公共预算财政拨款支出决算总体情况</w:t>
      </w:r>
      <w:bookmarkEnd w:id="28"/>
    </w:p>
    <w:p w14:paraId="7C39FF1D">
      <w:pPr>
        <w:keepNext w:val="0"/>
        <w:keepLines w:val="0"/>
        <w:pageBreakBefore w:val="0"/>
        <w:widowControl w:val="0"/>
        <w:kinsoku/>
        <w:wordWrap/>
        <w:overflowPunct/>
        <w:topLinePunct w:val="0"/>
        <w:autoSpaceDE/>
        <w:autoSpaceDN/>
        <w:bidi w:val="0"/>
        <w:adjustRightInd/>
        <w:snapToGrid/>
        <w:spacing w:line="600" w:lineRule="exact"/>
        <w:ind w:firstLine="640"/>
        <w:textAlignment w:val="auto"/>
        <w:rPr>
          <w:rFonts w:hint="default" w:ascii="Times New Roman" w:hAnsi="Times New Roman" w:eastAsia="仿宋_GB2312" w:cs="Times New Roman"/>
          <w:color w:val="auto"/>
          <w:kern w:val="2"/>
          <w:sz w:val="32"/>
          <w:szCs w:val="32"/>
          <w:highlight w:val="none"/>
          <w:lang w:val="en-US" w:eastAsia="zh-CN" w:bidi="ar-SA"/>
        </w:rPr>
      </w:pPr>
      <w:r>
        <w:rPr>
          <w:rFonts w:hint="default" w:ascii="Times New Roman" w:hAnsi="Times New Roman" w:eastAsia="仿宋_GB2312" w:cs="Times New Roman"/>
          <w:color w:val="auto"/>
          <w:kern w:val="2"/>
          <w:sz w:val="32"/>
          <w:szCs w:val="32"/>
          <w:highlight w:val="none"/>
          <w:lang w:val="en-US" w:eastAsia="zh-CN" w:bidi="ar-SA"/>
        </w:rPr>
        <w:t>2024年度一般公共预算财政拨款支出</w:t>
      </w:r>
      <w:r>
        <w:rPr>
          <w:rFonts w:hint="default" w:ascii="Times New Roman" w:hAnsi="Times New Roman" w:eastAsia="仿宋_GB2312" w:cs="Times New Roman"/>
          <w:sz w:val="32"/>
          <w:szCs w:val="32"/>
        </w:rPr>
        <w:t>1482.02</w:t>
      </w:r>
      <w:r>
        <w:rPr>
          <w:rFonts w:hint="default" w:ascii="Times New Roman" w:hAnsi="Times New Roman" w:eastAsia="仿宋_GB2312" w:cs="Times New Roman"/>
          <w:color w:val="auto"/>
          <w:kern w:val="2"/>
          <w:sz w:val="32"/>
          <w:szCs w:val="32"/>
          <w:highlight w:val="none"/>
          <w:lang w:val="en-US" w:eastAsia="zh-CN" w:bidi="ar-SA"/>
        </w:rPr>
        <w:t>万元，占本年支出合计的</w:t>
      </w:r>
      <w:r>
        <w:rPr>
          <w:rFonts w:hint="default" w:ascii="Times New Roman" w:hAnsi="Times New Roman" w:eastAsia="仿宋_GB2312" w:cs="Times New Roman"/>
          <w:sz w:val="32"/>
          <w:szCs w:val="32"/>
        </w:rPr>
        <w:t>99.99</w:t>
      </w:r>
      <w:r>
        <w:rPr>
          <w:rFonts w:hint="default" w:ascii="Times New Roman" w:hAnsi="Times New Roman" w:eastAsia="仿宋_GB2312" w:cs="Times New Roman"/>
          <w:color w:val="auto"/>
          <w:kern w:val="2"/>
          <w:sz w:val="32"/>
          <w:szCs w:val="32"/>
          <w:highlight w:val="none"/>
          <w:lang w:val="en-US" w:eastAsia="zh-CN" w:bidi="ar-SA"/>
        </w:rPr>
        <w:t>%。与2023年度相比，一般公共预算财政拨款支出减少73.84万元，下降4.75%。</w:t>
      </w:r>
      <w:r>
        <w:rPr>
          <w:rFonts w:hint="default" w:ascii="Times New Roman" w:hAnsi="Times New Roman" w:eastAsia="仿宋" w:cs="Times New Roman"/>
          <w:color w:val="auto"/>
          <w:sz w:val="32"/>
          <w:szCs w:val="32"/>
          <w:highlight w:val="none"/>
          <w:lang w:eastAsia="zh-CN"/>
        </w:rPr>
        <w:t>主要变动原因是人员经费减少。</w:t>
      </w:r>
    </w:p>
    <w:p w14:paraId="5C4FF519">
      <w:pPr>
        <w:keepNext w:val="0"/>
        <w:keepLines w:val="0"/>
        <w:pageBreakBefore w:val="0"/>
        <w:widowControl w:val="0"/>
        <w:kinsoku/>
        <w:wordWrap/>
        <w:overflowPunct/>
        <w:topLinePunct w:val="0"/>
        <w:autoSpaceDE/>
        <w:autoSpaceDN/>
        <w:bidi w:val="0"/>
        <w:adjustRightInd/>
        <w:snapToGrid/>
        <w:spacing w:line="360" w:lineRule="auto"/>
        <w:ind w:firstLine="640"/>
        <w:jc w:val="center"/>
        <w:textAlignment w:val="auto"/>
        <w:rPr>
          <w:rFonts w:hint="default" w:ascii="Times New Roman" w:hAnsi="Times New Roman" w:eastAsia="仿宋_GB2312" w:cs="Times New Roman"/>
          <w:color w:val="auto"/>
          <w:kern w:val="2"/>
          <w:sz w:val="32"/>
          <w:szCs w:val="32"/>
          <w:highlight w:val="none"/>
          <w:lang w:val="en-US" w:eastAsia="zh-CN" w:bidi="ar-SA"/>
        </w:rPr>
      </w:pPr>
      <w:r>
        <w:rPr>
          <w:rFonts w:hint="default" w:ascii="Times New Roman" w:hAnsi="Times New Roman" w:cs="Times New Roman"/>
        </w:rPr>
        <w:drawing>
          <wp:inline distT="0" distB="0" distL="114300" distR="114300">
            <wp:extent cx="4826000" cy="2743200"/>
            <wp:effectExtent l="4445" t="4445" r="8255" b="14605"/>
            <wp:docPr id="6" name="图表 4" descr="7b0a202020202263686172745265734964223a20223230343736383038220a7d0a"/>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2E66E3BA">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2"/>
        <w:rPr>
          <w:rFonts w:hint="default" w:ascii="Times New Roman" w:hAnsi="Times New Roman" w:eastAsia="楷体_GB2312" w:cs="Times New Roman"/>
          <w:b/>
          <w:color w:val="auto"/>
          <w:sz w:val="32"/>
          <w:szCs w:val="32"/>
          <w:highlight w:val="none"/>
        </w:rPr>
      </w:pPr>
      <w:bookmarkStart w:id="29" w:name="_Toc15377211"/>
      <w:r>
        <w:rPr>
          <w:rFonts w:hint="default" w:ascii="Times New Roman" w:hAnsi="Times New Roman" w:eastAsia="楷体_GB2312" w:cs="Times New Roman"/>
          <w:b/>
          <w:color w:val="auto"/>
          <w:sz w:val="32"/>
          <w:szCs w:val="32"/>
          <w:highlight w:val="none"/>
        </w:rPr>
        <w:t>（二）一般公共预算财政拨款支出决算结构情况</w:t>
      </w:r>
      <w:bookmarkEnd w:id="29"/>
    </w:p>
    <w:p w14:paraId="4B7AEF35">
      <w:pPr>
        <w:keepNext w:val="0"/>
        <w:keepLines w:val="0"/>
        <w:pageBreakBefore w:val="0"/>
        <w:widowControl w:val="0"/>
        <w:kinsoku/>
        <w:wordWrap/>
        <w:overflowPunct/>
        <w:topLinePunct w:val="0"/>
        <w:autoSpaceDE/>
        <w:autoSpaceDN/>
        <w:bidi w:val="0"/>
        <w:adjustRightInd/>
        <w:snapToGrid/>
        <w:spacing w:line="600" w:lineRule="exact"/>
        <w:ind w:firstLine="640"/>
        <w:textAlignment w:val="auto"/>
        <w:rPr>
          <w:rFonts w:hint="default" w:ascii="Times New Roman" w:hAnsi="Times New Roman" w:eastAsia="仿宋" w:cs="Times New Roman"/>
          <w:b w:val="0"/>
          <w:bCs/>
          <w:color w:val="auto"/>
          <w:sz w:val="32"/>
          <w:szCs w:val="32"/>
          <w:highlight w:val="none"/>
          <w:lang w:eastAsia="zh-CN"/>
        </w:rPr>
      </w:pPr>
      <w:r>
        <w:rPr>
          <w:rFonts w:hint="default" w:ascii="Times New Roman" w:hAnsi="Times New Roman" w:eastAsia="仿宋_GB2312" w:cs="Times New Roman"/>
          <w:color w:val="auto"/>
          <w:kern w:val="2"/>
          <w:sz w:val="32"/>
          <w:szCs w:val="32"/>
          <w:highlight w:val="none"/>
          <w:lang w:val="en-US" w:eastAsia="zh-CN" w:bidi="ar-SA"/>
        </w:rPr>
        <w:t>2024年度一般公共预算财政拨款支出</w:t>
      </w:r>
      <w:r>
        <w:rPr>
          <w:rFonts w:hint="default" w:ascii="Times New Roman" w:hAnsi="Times New Roman" w:eastAsia="仿宋_GB2312" w:cs="Times New Roman"/>
          <w:sz w:val="32"/>
          <w:szCs w:val="32"/>
        </w:rPr>
        <w:t>1482.02</w:t>
      </w:r>
      <w:r>
        <w:rPr>
          <w:rFonts w:hint="default" w:ascii="Times New Roman" w:hAnsi="Times New Roman" w:eastAsia="仿宋_GB2312" w:cs="Times New Roman"/>
          <w:color w:val="auto"/>
          <w:kern w:val="2"/>
          <w:sz w:val="32"/>
          <w:szCs w:val="32"/>
          <w:highlight w:val="none"/>
          <w:lang w:val="en-US" w:eastAsia="zh-CN" w:bidi="ar-SA"/>
        </w:rPr>
        <w:t>万元，主要用于以下方面：</w:t>
      </w:r>
      <w:r>
        <w:rPr>
          <w:rFonts w:hint="default" w:ascii="Times New Roman" w:hAnsi="Times New Roman" w:eastAsia="仿宋" w:cs="Times New Roman"/>
          <w:b/>
          <w:color w:val="auto"/>
          <w:sz w:val="32"/>
          <w:szCs w:val="32"/>
          <w:highlight w:val="none"/>
        </w:rPr>
        <w:t>社会保障和就业支出</w:t>
      </w:r>
      <w:r>
        <w:rPr>
          <w:rFonts w:hint="default" w:ascii="Times New Roman" w:hAnsi="Times New Roman" w:eastAsia="仿宋" w:cs="Times New Roman"/>
          <w:b w:val="0"/>
          <w:bCs/>
          <w:color w:val="auto"/>
          <w:sz w:val="32"/>
          <w:szCs w:val="32"/>
          <w:highlight w:val="none"/>
        </w:rPr>
        <w:t>13</w:t>
      </w:r>
      <w:r>
        <w:rPr>
          <w:rFonts w:hint="default" w:ascii="Times New Roman" w:hAnsi="Times New Roman" w:eastAsia="仿宋" w:cs="Times New Roman"/>
          <w:b w:val="0"/>
          <w:bCs/>
          <w:color w:val="auto"/>
          <w:sz w:val="32"/>
          <w:szCs w:val="32"/>
          <w:highlight w:val="none"/>
          <w:lang w:val="en-US" w:eastAsia="zh-CN"/>
        </w:rPr>
        <w:t>12.96</w:t>
      </w:r>
      <w:r>
        <w:rPr>
          <w:rFonts w:hint="default" w:ascii="Times New Roman" w:hAnsi="Times New Roman" w:eastAsia="仿宋" w:cs="Times New Roman"/>
          <w:b w:val="0"/>
          <w:bCs/>
          <w:color w:val="auto"/>
          <w:sz w:val="32"/>
          <w:szCs w:val="32"/>
          <w:highlight w:val="none"/>
        </w:rPr>
        <w:t>万元，占</w:t>
      </w:r>
      <w:r>
        <w:rPr>
          <w:rFonts w:hint="default" w:ascii="Times New Roman" w:hAnsi="Times New Roman" w:eastAsia="仿宋" w:cs="Times New Roman"/>
          <w:b w:val="0"/>
          <w:bCs/>
          <w:color w:val="auto"/>
          <w:sz w:val="32"/>
          <w:szCs w:val="32"/>
          <w:highlight w:val="none"/>
          <w:lang w:val="en-US" w:eastAsia="zh-CN"/>
        </w:rPr>
        <w:t>88.59</w:t>
      </w:r>
      <w:r>
        <w:rPr>
          <w:rFonts w:hint="default" w:ascii="Times New Roman" w:hAnsi="Times New Roman" w:eastAsia="仿宋" w:cs="Times New Roman"/>
          <w:b w:val="0"/>
          <w:bCs/>
          <w:color w:val="auto"/>
          <w:sz w:val="32"/>
          <w:szCs w:val="32"/>
          <w:highlight w:val="none"/>
        </w:rPr>
        <w:t>%；</w:t>
      </w:r>
      <w:r>
        <w:rPr>
          <w:rFonts w:hint="default" w:ascii="Times New Roman" w:hAnsi="Times New Roman" w:eastAsia="仿宋" w:cs="Times New Roman"/>
          <w:b/>
          <w:color w:val="auto"/>
          <w:sz w:val="32"/>
          <w:szCs w:val="32"/>
          <w:highlight w:val="none"/>
        </w:rPr>
        <w:t>卫生健康支出</w:t>
      </w:r>
      <w:r>
        <w:rPr>
          <w:rFonts w:hint="default" w:ascii="Times New Roman" w:hAnsi="Times New Roman" w:eastAsia="仿宋" w:cs="Times New Roman"/>
          <w:b w:val="0"/>
          <w:bCs/>
          <w:color w:val="auto"/>
          <w:sz w:val="32"/>
          <w:szCs w:val="32"/>
          <w:highlight w:val="none"/>
          <w:lang w:val="en-US" w:eastAsia="zh-CN"/>
        </w:rPr>
        <w:t>77.34</w:t>
      </w:r>
      <w:r>
        <w:rPr>
          <w:rFonts w:hint="default" w:ascii="Times New Roman" w:hAnsi="Times New Roman" w:eastAsia="仿宋" w:cs="Times New Roman"/>
          <w:b w:val="0"/>
          <w:bCs/>
          <w:color w:val="auto"/>
          <w:sz w:val="32"/>
          <w:szCs w:val="32"/>
          <w:highlight w:val="none"/>
        </w:rPr>
        <w:t>万元，占</w:t>
      </w:r>
      <w:r>
        <w:rPr>
          <w:rFonts w:hint="default" w:ascii="Times New Roman" w:hAnsi="Times New Roman" w:eastAsia="仿宋" w:cs="Times New Roman"/>
          <w:b w:val="0"/>
          <w:bCs/>
          <w:color w:val="auto"/>
          <w:sz w:val="32"/>
          <w:szCs w:val="32"/>
          <w:highlight w:val="none"/>
          <w:lang w:val="en-US" w:eastAsia="zh-CN"/>
        </w:rPr>
        <w:t>5.22</w:t>
      </w:r>
      <w:r>
        <w:rPr>
          <w:rFonts w:hint="default" w:ascii="Times New Roman" w:hAnsi="Times New Roman" w:eastAsia="仿宋" w:cs="Times New Roman"/>
          <w:b w:val="0"/>
          <w:bCs/>
          <w:color w:val="auto"/>
          <w:sz w:val="32"/>
          <w:szCs w:val="32"/>
          <w:highlight w:val="none"/>
        </w:rPr>
        <w:t>%；</w:t>
      </w:r>
      <w:r>
        <w:rPr>
          <w:rFonts w:hint="default" w:ascii="Times New Roman" w:hAnsi="Times New Roman" w:eastAsia="仿宋" w:cs="Times New Roman"/>
          <w:b/>
          <w:color w:val="auto"/>
          <w:sz w:val="32"/>
          <w:szCs w:val="32"/>
          <w:highlight w:val="none"/>
        </w:rPr>
        <w:t>住房保障支出</w:t>
      </w:r>
      <w:r>
        <w:rPr>
          <w:rFonts w:hint="default" w:ascii="Times New Roman" w:hAnsi="Times New Roman" w:eastAsia="仿宋" w:cs="Times New Roman"/>
          <w:b w:val="0"/>
          <w:bCs/>
          <w:color w:val="auto"/>
          <w:sz w:val="32"/>
          <w:szCs w:val="32"/>
          <w:highlight w:val="none"/>
          <w:lang w:val="en-US" w:eastAsia="zh-CN"/>
        </w:rPr>
        <w:t>91.71</w:t>
      </w:r>
      <w:r>
        <w:rPr>
          <w:rFonts w:hint="default" w:ascii="Times New Roman" w:hAnsi="Times New Roman" w:eastAsia="仿宋" w:cs="Times New Roman"/>
          <w:b w:val="0"/>
          <w:bCs/>
          <w:color w:val="auto"/>
          <w:sz w:val="32"/>
          <w:szCs w:val="32"/>
          <w:highlight w:val="none"/>
        </w:rPr>
        <w:t>万元，占</w:t>
      </w:r>
      <w:r>
        <w:rPr>
          <w:rFonts w:hint="default" w:ascii="Times New Roman" w:hAnsi="Times New Roman" w:eastAsia="仿宋" w:cs="Times New Roman"/>
          <w:b w:val="0"/>
          <w:bCs/>
          <w:color w:val="auto"/>
          <w:sz w:val="32"/>
          <w:szCs w:val="32"/>
          <w:highlight w:val="none"/>
          <w:lang w:val="en-US" w:eastAsia="zh-CN"/>
        </w:rPr>
        <w:t>6.19</w:t>
      </w:r>
      <w:r>
        <w:rPr>
          <w:rFonts w:hint="default" w:ascii="Times New Roman" w:hAnsi="Times New Roman" w:eastAsia="仿宋" w:cs="Times New Roman"/>
          <w:b w:val="0"/>
          <w:bCs/>
          <w:color w:val="auto"/>
          <w:sz w:val="32"/>
          <w:szCs w:val="32"/>
          <w:highlight w:val="none"/>
        </w:rPr>
        <w:t>%</w:t>
      </w:r>
      <w:r>
        <w:rPr>
          <w:rFonts w:hint="default" w:ascii="Times New Roman" w:hAnsi="Times New Roman" w:eastAsia="仿宋" w:cs="Times New Roman"/>
          <w:b w:val="0"/>
          <w:bCs/>
          <w:color w:val="auto"/>
          <w:sz w:val="32"/>
          <w:szCs w:val="32"/>
          <w:highlight w:val="none"/>
          <w:lang w:eastAsia="zh-CN"/>
        </w:rPr>
        <w:t>。</w:t>
      </w:r>
    </w:p>
    <w:p w14:paraId="22605378">
      <w:pPr>
        <w:keepNext w:val="0"/>
        <w:keepLines w:val="0"/>
        <w:pageBreakBefore w:val="0"/>
        <w:widowControl w:val="0"/>
        <w:kinsoku/>
        <w:wordWrap/>
        <w:overflowPunct/>
        <w:topLinePunct w:val="0"/>
        <w:autoSpaceDE/>
        <w:autoSpaceDN/>
        <w:bidi w:val="0"/>
        <w:adjustRightInd/>
        <w:snapToGrid/>
        <w:spacing w:line="360" w:lineRule="auto"/>
        <w:ind w:firstLine="640"/>
        <w:jc w:val="center"/>
        <w:textAlignment w:val="auto"/>
        <w:rPr>
          <w:rFonts w:hint="default" w:ascii="Times New Roman" w:hAnsi="Times New Roman" w:eastAsia="仿宋_GB2312" w:cs="Times New Roman"/>
          <w:color w:val="auto"/>
          <w:kern w:val="2"/>
          <w:sz w:val="32"/>
          <w:szCs w:val="32"/>
          <w:highlight w:val="none"/>
          <w:lang w:val="en-US" w:eastAsia="zh-CN" w:bidi="ar-SA"/>
        </w:rPr>
      </w:pPr>
      <w:r>
        <w:rPr>
          <w:rFonts w:hint="default" w:ascii="Times New Roman" w:hAnsi="Times New Roman" w:cs="Times New Roman"/>
        </w:rPr>
        <w:drawing>
          <wp:inline distT="0" distB="0" distL="114300" distR="114300">
            <wp:extent cx="4826000" cy="2743200"/>
            <wp:effectExtent l="4445" t="4445" r="8255" b="14605"/>
            <wp:docPr id="9" name="图表 8" descr="7b0a202020202263686172745265734964223a20223230343736383735220a7d0a"/>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60722EE4">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2"/>
        <w:rPr>
          <w:rFonts w:hint="default" w:ascii="Times New Roman" w:hAnsi="Times New Roman" w:eastAsia="楷体_GB2312" w:cs="Times New Roman"/>
          <w:b/>
          <w:color w:val="auto"/>
          <w:sz w:val="32"/>
          <w:szCs w:val="32"/>
          <w:highlight w:val="none"/>
        </w:rPr>
      </w:pPr>
      <w:bookmarkStart w:id="30" w:name="_Toc15377212"/>
      <w:r>
        <w:rPr>
          <w:rFonts w:hint="default" w:ascii="Times New Roman" w:hAnsi="Times New Roman" w:eastAsia="楷体_GB2312" w:cs="Times New Roman"/>
          <w:b/>
          <w:color w:val="auto"/>
          <w:sz w:val="32"/>
          <w:szCs w:val="32"/>
          <w:highlight w:val="none"/>
        </w:rPr>
        <w:t>（三）一般公共预算财政拨款支出决算具体情况</w:t>
      </w:r>
      <w:bookmarkEnd w:id="30"/>
    </w:p>
    <w:p w14:paraId="68407CE2">
      <w:pPr>
        <w:keepNext w:val="0"/>
        <w:keepLines w:val="0"/>
        <w:pageBreakBefore w:val="0"/>
        <w:widowControl w:val="0"/>
        <w:kinsoku/>
        <w:wordWrap/>
        <w:overflowPunct/>
        <w:topLinePunct w:val="0"/>
        <w:autoSpaceDE/>
        <w:autoSpaceDN/>
        <w:bidi w:val="0"/>
        <w:adjustRightInd/>
        <w:snapToGrid/>
        <w:spacing w:line="600" w:lineRule="exact"/>
        <w:ind w:firstLine="640"/>
        <w:textAlignment w:val="auto"/>
        <w:rPr>
          <w:rFonts w:hint="default" w:ascii="Times New Roman" w:hAnsi="Times New Roman" w:eastAsia="仿宋_GB2312" w:cs="Times New Roman"/>
          <w:color w:val="auto"/>
          <w:kern w:val="2"/>
          <w:sz w:val="32"/>
          <w:szCs w:val="32"/>
          <w:highlight w:val="none"/>
          <w:lang w:val="en-US" w:eastAsia="zh-CN" w:bidi="ar-SA"/>
        </w:rPr>
      </w:pPr>
      <w:bookmarkStart w:id="31" w:name="_Toc15377444"/>
      <w:bookmarkStart w:id="32" w:name="_Toc15377213"/>
      <w:bookmarkStart w:id="33" w:name="_Toc15378460"/>
      <w:r>
        <w:rPr>
          <w:rFonts w:hint="default" w:ascii="Times New Roman" w:hAnsi="Times New Roman" w:eastAsia="仿宋_GB2312" w:cs="Times New Roman"/>
          <w:color w:val="auto"/>
          <w:kern w:val="2"/>
          <w:sz w:val="32"/>
          <w:szCs w:val="32"/>
          <w:highlight w:val="none"/>
          <w:lang w:val="en-US" w:eastAsia="zh-CN" w:bidi="ar-SA"/>
        </w:rPr>
        <w:t>2024年度一般公共预算财政拨款支出决算数为</w:t>
      </w:r>
      <w:r>
        <w:rPr>
          <w:rFonts w:hint="default" w:ascii="Times New Roman" w:hAnsi="Times New Roman" w:eastAsia="仿宋_GB2312" w:cs="Times New Roman"/>
          <w:sz w:val="32"/>
          <w:szCs w:val="32"/>
        </w:rPr>
        <w:t>1482.02</w:t>
      </w:r>
      <w:r>
        <w:rPr>
          <w:rFonts w:hint="default" w:ascii="Times New Roman" w:hAnsi="Times New Roman" w:eastAsia="仿宋_GB2312" w:cs="Times New Roman"/>
          <w:color w:val="auto"/>
          <w:kern w:val="2"/>
          <w:sz w:val="32"/>
          <w:szCs w:val="32"/>
          <w:highlight w:val="none"/>
          <w:lang w:val="en-US" w:eastAsia="zh-CN" w:bidi="ar-SA"/>
        </w:rPr>
        <w:t>，完成预算100%。其中：</w:t>
      </w:r>
      <w:bookmarkEnd w:id="31"/>
      <w:bookmarkEnd w:id="32"/>
      <w:bookmarkEnd w:id="33"/>
    </w:p>
    <w:p w14:paraId="7B7B5F0B">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仿宋" w:cs="Times New Roman"/>
          <w:b/>
          <w:color w:val="auto"/>
          <w:sz w:val="32"/>
          <w:szCs w:val="32"/>
        </w:rPr>
      </w:pPr>
      <w:bookmarkStart w:id="34" w:name="_Toc15396608"/>
      <w:bookmarkStart w:id="35" w:name="_Toc15377214"/>
      <w:r>
        <w:rPr>
          <w:rStyle w:val="20"/>
          <w:rFonts w:hint="default" w:ascii="Times New Roman" w:hAnsi="Times New Roman" w:eastAsia="仿宋" w:cs="Times New Roman"/>
          <w:bCs/>
          <w:color w:val="auto"/>
          <w:sz w:val="32"/>
          <w:szCs w:val="32"/>
          <w:lang w:val="en-US" w:eastAsia="zh-CN"/>
        </w:rPr>
        <w:t>1.</w:t>
      </w:r>
      <w:r>
        <w:rPr>
          <w:rStyle w:val="20"/>
          <w:rFonts w:hint="default" w:ascii="Times New Roman" w:hAnsi="Times New Roman" w:eastAsia="仿宋" w:cs="Times New Roman"/>
          <w:bCs/>
          <w:color w:val="auto"/>
          <w:sz w:val="32"/>
          <w:szCs w:val="32"/>
        </w:rPr>
        <w:t>社会保障和就业支出（类）人力资源和社会保障管理事务（款）行政运行（项）:</w:t>
      </w:r>
      <w:r>
        <w:rPr>
          <w:rStyle w:val="20"/>
          <w:rFonts w:hint="default" w:ascii="Times New Roman" w:hAnsi="Times New Roman" w:eastAsia="仿宋" w:cs="Times New Roman"/>
          <w:b w:val="0"/>
          <w:bCs/>
          <w:color w:val="auto"/>
          <w:sz w:val="32"/>
          <w:szCs w:val="32"/>
        </w:rPr>
        <w:t>支出决算为</w:t>
      </w:r>
      <w:r>
        <w:rPr>
          <w:rStyle w:val="20"/>
          <w:rFonts w:hint="default" w:ascii="Times New Roman" w:hAnsi="Times New Roman" w:eastAsia="仿宋" w:cs="Times New Roman"/>
          <w:b w:val="0"/>
          <w:bCs/>
          <w:color w:val="auto"/>
          <w:sz w:val="32"/>
          <w:szCs w:val="32"/>
          <w:lang w:val="en-US" w:eastAsia="zh-CN"/>
        </w:rPr>
        <w:t>922.54</w:t>
      </w:r>
      <w:r>
        <w:rPr>
          <w:rStyle w:val="20"/>
          <w:rFonts w:hint="default" w:ascii="Times New Roman" w:hAnsi="Times New Roman" w:eastAsia="仿宋" w:cs="Times New Roman"/>
          <w:b w:val="0"/>
          <w:bCs/>
          <w:color w:val="auto"/>
          <w:sz w:val="32"/>
          <w:szCs w:val="32"/>
        </w:rPr>
        <w:t>万元，完成预算100%，决算数等于预算数。</w:t>
      </w:r>
    </w:p>
    <w:p w14:paraId="70CB4F93">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Style w:val="20"/>
          <w:rFonts w:hint="default" w:ascii="Times New Roman" w:hAnsi="Times New Roman" w:eastAsia="仿宋" w:cs="Times New Roman"/>
          <w:b w:val="0"/>
          <w:bCs/>
          <w:color w:val="auto"/>
          <w:sz w:val="32"/>
          <w:szCs w:val="32"/>
        </w:rPr>
      </w:pPr>
      <w:r>
        <w:rPr>
          <w:rStyle w:val="20"/>
          <w:rFonts w:hint="default" w:ascii="Times New Roman" w:hAnsi="Times New Roman" w:eastAsia="仿宋" w:cs="Times New Roman"/>
          <w:bCs/>
          <w:color w:val="auto"/>
          <w:sz w:val="32"/>
          <w:szCs w:val="32"/>
          <w:lang w:val="en-US" w:eastAsia="zh-CN"/>
        </w:rPr>
        <w:t>2</w:t>
      </w:r>
      <w:r>
        <w:rPr>
          <w:rStyle w:val="20"/>
          <w:rFonts w:hint="default" w:ascii="Times New Roman" w:hAnsi="Times New Roman" w:eastAsia="仿宋" w:cs="Times New Roman"/>
          <w:bCs/>
          <w:color w:val="auto"/>
          <w:sz w:val="32"/>
          <w:szCs w:val="32"/>
        </w:rPr>
        <w:t>.社会保障和就业支出（类）人力资源和社会保障管理事务（款）社会保险经办机构（项）:</w:t>
      </w:r>
      <w:r>
        <w:rPr>
          <w:rStyle w:val="20"/>
          <w:rFonts w:hint="default" w:ascii="Times New Roman" w:hAnsi="Times New Roman" w:eastAsia="仿宋" w:cs="Times New Roman"/>
          <w:b w:val="0"/>
          <w:bCs/>
          <w:color w:val="auto"/>
          <w:sz w:val="32"/>
          <w:szCs w:val="32"/>
        </w:rPr>
        <w:t>支出决算为</w:t>
      </w:r>
      <w:r>
        <w:rPr>
          <w:rStyle w:val="20"/>
          <w:rFonts w:hint="default" w:ascii="Times New Roman" w:hAnsi="Times New Roman" w:eastAsia="仿宋" w:cs="Times New Roman"/>
          <w:b w:val="0"/>
          <w:bCs/>
          <w:color w:val="auto"/>
          <w:sz w:val="32"/>
          <w:szCs w:val="32"/>
          <w:lang w:val="en-US" w:eastAsia="zh-CN"/>
        </w:rPr>
        <w:t>139.97</w:t>
      </w:r>
      <w:r>
        <w:rPr>
          <w:rStyle w:val="20"/>
          <w:rFonts w:hint="default" w:ascii="Times New Roman" w:hAnsi="Times New Roman" w:eastAsia="仿宋" w:cs="Times New Roman"/>
          <w:b w:val="0"/>
          <w:bCs/>
          <w:color w:val="auto"/>
          <w:sz w:val="32"/>
          <w:szCs w:val="32"/>
        </w:rPr>
        <w:t>万元，完成预算100%，决算数等于预算数。</w:t>
      </w:r>
    </w:p>
    <w:p w14:paraId="0EB8FA4F">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Style w:val="20"/>
          <w:rFonts w:hint="default" w:ascii="Times New Roman" w:hAnsi="Times New Roman" w:eastAsia="仿宋" w:cs="Times New Roman"/>
          <w:b w:val="0"/>
          <w:bCs/>
          <w:color w:val="auto"/>
          <w:sz w:val="32"/>
          <w:szCs w:val="32"/>
        </w:rPr>
      </w:pPr>
      <w:r>
        <w:rPr>
          <w:rStyle w:val="20"/>
          <w:rFonts w:hint="default" w:ascii="Times New Roman" w:hAnsi="Times New Roman" w:eastAsia="仿宋" w:cs="Times New Roman"/>
          <w:bCs/>
          <w:color w:val="auto"/>
          <w:sz w:val="32"/>
          <w:szCs w:val="32"/>
          <w:lang w:val="en-US" w:eastAsia="zh-CN"/>
        </w:rPr>
        <w:t>3</w:t>
      </w:r>
      <w:r>
        <w:rPr>
          <w:rStyle w:val="20"/>
          <w:rFonts w:hint="default" w:ascii="Times New Roman" w:hAnsi="Times New Roman" w:eastAsia="仿宋" w:cs="Times New Roman"/>
          <w:bCs/>
          <w:color w:val="auto"/>
          <w:sz w:val="32"/>
          <w:szCs w:val="32"/>
        </w:rPr>
        <w:t>.社会保障和就业支出（类）人力资源和社会保障管理事务（款）</w:t>
      </w:r>
      <w:r>
        <w:rPr>
          <w:rStyle w:val="20"/>
          <w:rFonts w:hint="default" w:ascii="Times New Roman" w:hAnsi="Times New Roman" w:eastAsia="仿宋" w:cs="Times New Roman"/>
          <w:bCs/>
          <w:color w:val="auto"/>
          <w:sz w:val="32"/>
          <w:szCs w:val="32"/>
          <w:lang w:eastAsia="zh-CN"/>
        </w:rPr>
        <w:t>其他人力资源和社会保障管理事务支出</w:t>
      </w:r>
      <w:r>
        <w:rPr>
          <w:rStyle w:val="20"/>
          <w:rFonts w:hint="default" w:ascii="Times New Roman" w:hAnsi="Times New Roman" w:eastAsia="仿宋" w:cs="Times New Roman"/>
          <w:bCs/>
          <w:color w:val="auto"/>
          <w:sz w:val="32"/>
          <w:szCs w:val="32"/>
        </w:rPr>
        <w:t>（项）:</w:t>
      </w:r>
      <w:r>
        <w:rPr>
          <w:rStyle w:val="20"/>
          <w:rFonts w:hint="default" w:ascii="Times New Roman" w:hAnsi="Times New Roman" w:eastAsia="仿宋" w:cs="Times New Roman"/>
          <w:b w:val="0"/>
          <w:bCs/>
          <w:color w:val="auto"/>
          <w:sz w:val="32"/>
          <w:szCs w:val="32"/>
        </w:rPr>
        <w:t>支出决算为</w:t>
      </w:r>
      <w:r>
        <w:rPr>
          <w:rStyle w:val="20"/>
          <w:rFonts w:hint="default" w:ascii="Times New Roman" w:hAnsi="Times New Roman" w:eastAsia="仿宋" w:cs="Times New Roman"/>
          <w:b w:val="0"/>
          <w:bCs/>
          <w:color w:val="auto"/>
          <w:sz w:val="32"/>
          <w:szCs w:val="32"/>
          <w:lang w:val="en-US" w:eastAsia="zh-CN"/>
        </w:rPr>
        <w:t>16.8</w:t>
      </w:r>
      <w:r>
        <w:rPr>
          <w:rStyle w:val="20"/>
          <w:rFonts w:hint="default" w:ascii="Times New Roman" w:hAnsi="Times New Roman" w:eastAsia="仿宋" w:cs="Times New Roman"/>
          <w:b w:val="0"/>
          <w:bCs/>
          <w:color w:val="auto"/>
          <w:sz w:val="32"/>
          <w:szCs w:val="32"/>
        </w:rPr>
        <w:t>万元，完成预算100%，决算数等于预算数。</w:t>
      </w:r>
    </w:p>
    <w:p w14:paraId="6F44CD61">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仿宋" w:cs="Times New Roman"/>
          <w:b/>
          <w:color w:val="auto"/>
          <w:sz w:val="32"/>
          <w:szCs w:val="32"/>
        </w:rPr>
      </w:pPr>
      <w:r>
        <w:rPr>
          <w:rStyle w:val="20"/>
          <w:rFonts w:hint="default" w:ascii="Times New Roman" w:hAnsi="Times New Roman" w:eastAsia="仿宋" w:cs="Times New Roman"/>
          <w:bCs/>
          <w:color w:val="auto"/>
          <w:sz w:val="32"/>
          <w:szCs w:val="32"/>
          <w:lang w:val="en-US" w:eastAsia="zh-CN"/>
        </w:rPr>
        <w:t>4</w:t>
      </w:r>
      <w:r>
        <w:rPr>
          <w:rStyle w:val="20"/>
          <w:rFonts w:hint="default" w:ascii="Times New Roman" w:hAnsi="Times New Roman" w:eastAsia="仿宋" w:cs="Times New Roman"/>
          <w:bCs/>
          <w:color w:val="auto"/>
          <w:sz w:val="32"/>
          <w:szCs w:val="32"/>
        </w:rPr>
        <w:t>.社会保障和就业支出（类）</w:t>
      </w:r>
      <w:r>
        <w:rPr>
          <w:rStyle w:val="20"/>
          <w:rFonts w:hint="default" w:ascii="Times New Roman" w:hAnsi="Times New Roman" w:eastAsia="仿宋" w:cs="Times New Roman"/>
          <w:bCs/>
          <w:color w:val="auto"/>
          <w:sz w:val="32"/>
          <w:szCs w:val="32"/>
          <w:lang w:eastAsia="zh-CN"/>
        </w:rPr>
        <w:t>行政事业单位养老支出</w:t>
      </w:r>
      <w:r>
        <w:rPr>
          <w:rStyle w:val="20"/>
          <w:rFonts w:hint="default" w:ascii="Times New Roman" w:hAnsi="Times New Roman" w:eastAsia="仿宋" w:cs="Times New Roman"/>
          <w:bCs/>
          <w:color w:val="auto"/>
          <w:sz w:val="32"/>
          <w:szCs w:val="32"/>
        </w:rPr>
        <w:t>（款）行政单位离退休（项）:</w:t>
      </w:r>
      <w:r>
        <w:rPr>
          <w:rStyle w:val="20"/>
          <w:rFonts w:hint="default" w:ascii="Times New Roman" w:hAnsi="Times New Roman" w:eastAsia="仿宋" w:cs="Times New Roman"/>
          <w:b w:val="0"/>
          <w:bCs/>
          <w:color w:val="auto"/>
          <w:sz w:val="32"/>
          <w:szCs w:val="32"/>
        </w:rPr>
        <w:t>支出决算为</w:t>
      </w:r>
      <w:r>
        <w:rPr>
          <w:rStyle w:val="20"/>
          <w:rFonts w:hint="default" w:ascii="Times New Roman" w:hAnsi="Times New Roman" w:eastAsia="仿宋" w:cs="Times New Roman"/>
          <w:b w:val="0"/>
          <w:bCs/>
          <w:color w:val="auto"/>
          <w:sz w:val="32"/>
          <w:szCs w:val="32"/>
          <w:lang w:val="en-US" w:eastAsia="zh-CN"/>
        </w:rPr>
        <w:t>100.12</w:t>
      </w:r>
      <w:r>
        <w:rPr>
          <w:rStyle w:val="20"/>
          <w:rFonts w:hint="default" w:ascii="Times New Roman" w:hAnsi="Times New Roman" w:eastAsia="仿宋" w:cs="Times New Roman"/>
          <w:b w:val="0"/>
          <w:bCs/>
          <w:color w:val="auto"/>
          <w:sz w:val="32"/>
          <w:szCs w:val="32"/>
        </w:rPr>
        <w:t>万元，完成预算100%，决算数等于预算数。</w:t>
      </w:r>
    </w:p>
    <w:p w14:paraId="119C25FE">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Style w:val="20"/>
          <w:rFonts w:hint="default" w:ascii="Times New Roman" w:hAnsi="Times New Roman" w:eastAsia="仿宋" w:cs="Times New Roman"/>
          <w:b w:val="0"/>
          <w:bCs/>
          <w:color w:val="auto"/>
          <w:sz w:val="32"/>
          <w:szCs w:val="32"/>
        </w:rPr>
      </w:pPr>
      <w:r>
        <w:rPr>
          <w:rStyle w:val="20"/>
          <w:rFonts w:hint="default" w:ascii="Times New Roman" w:hAnsi="Times New Roman" w:eastAsia="仿宋" w:cs="Times New Roman"/>
          <w:bCs/>
          <w:color w:val="auto"/>
          <w:sz w:val="32"/>
          <w:szCs w:val="32"/>
          <w:lang w:val="en-US" w:eastAsia="zh-CN"/>
        </w:rPr>
        <w:t>5</w:t>
      </w:r>
      <w:r>
        <w:rPr>
          <w:rStyle w:val="20"/>
          <w:rFonts w:hint="default" w:ascii="Times New Roman" w:hAnsi="Times New Roman" w:eastAsia="仿宋" w:cs="Times New Roman"/>
          <w:bCs/>
          <w:color w:val="auto"/>
          <w:sz w:val="32"/>
          <w:szCs w:val="32"/>
        </w:rPr>
        <w:t>.社会保障和就业支出（类）</w:t>
      </w:r>
      <w:r>
        <w:rPr>
          <w:rStyle w:val="20"/>
          <w:rFonts w:hint="default" w:ascii="Times New Roman" w:hAnsi="Times New Roman" w:eastAsia="仿宋" w:cs="Times New Roman"/>
          <w:bCs/>
          <w:color w:val="auto"/>
          <w:sz w:val="32"/>
          <w:szCs w:val="32"/>
          <w:lang w:eastAsia="zh-CN"/>
        </w:rPr>
        <w:t>行政事业单位养老支出</w:t>
      </w:r>
      <w:r>
        <w:rPr>
          <w:rStyle w:val="20"/>
          <w:rFonts w:hint="default" w:ascii="Times New Roman" w:hAnsi="Times New Roman" w:eastAsia="仿宋" w:cs="Times New Roman"/>
          <w:bCs/>
          <w:color w:val="auto"/>
          <w:sz w:val="32"/>
          <w:szCs w:val="32"/>
        </w:rPr>
        <w:t>（款）机关事业单位基本养老保险缴费支出（项）:</w:t>
      </w:r>
      <w:r>
        <w:rPr>
          <w:rStyle w:val="20"/>
          <w:rFonts w:hint="default" w:ascii="Times New Roman" w:hAnsi="Times New Roman" w:eastAsia="仿宋" w:cs="Times New Roman"/>
          <w:b w:val="0"/>
          <w:bCs/>
          <w:color w:val="auto"/>
          <w:sz w:val="32"/>
          <w:szCs w:val="32"/>
        </w:rPr>
        <w:t>支出决算为</w:t>
      </w:r>
      <w:r>
        <w:rPr>
          <w:rStyle w:val="20"/>
          <w:rFonts w:hint="default" w:ascii="Times New Roman" w:hAnsi="Times New Roman" w:eastAsia="仿宋" w:cs="Times New Roman"/>
          <w:b w:val="0"/>
          <w:bCs/>
          <w:color w:val="auto"/>
          <w:sz w:val="32"/>
          <w:szCs w:val="32"/>
          <w:lang w:val="en-US" w:eastAsia="zh-CN"/>
        </w:rPr>
        <w:t>110.66</w:t>
      </w:r>
      <w:r>
        <w:rPr>
          <w:rStyle w:val="20"/>
          <w:rFonts w:hint="default" w:ascii="Times New Roman" w:hAnsi="Times New Roman" w:eastAsia="仿宋" w:cs="Times New Roman"/>
          <w:b w:val="0"/>
          <w:bCs/>
          <w:color w:val="auto"/>
          <w:sz w:val="32"/>
          <w:szCs w:val="32"/>
        </w:rPr>
        <w:t>万元，完成预算100%，决算数等于预算数。</w:t>
      </w:r>
    </w:p>
    <w:p w14:paraId="54F3E250">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Style w:val="20"/>
          <w:rFonts w:hint="default" w:ascii="Times New Roman" w:hAnsi="Times New Roman" w:eastAsia="仿宋" w:cs="Times New Roman"/>
          <w:b w:val="0"/>
          <w:bCs/>
          <w:color w:val="auto"/>
          <w:sz w:val="32"/>
          <w:szCs w:val="32"/>
        </w:rPr>
      </w:pPr>
      <w:r>
        <w:rPr>
          <w:rStyle w:val="20"/>
          <w:rFonts w:hint="default" w:ascii="Times New Roman" w:hAnsi="Times New Roman" w:eastAsia="仿宋" w:cs="Times New Roman"/>
          <w:b/>
          <w:bCs w:val="0"/>
          <w:color w:val="auto"/>
          <w:sz w:val="32"/>
          <w:szCs w:val="32"/>
          <w:lang w:val="en-US" w:eastAsia="zh-CN"/>
        </w:rPr>
        <w:t>6.</w:t>
      </w:r>
      <w:r>
        <w:rPr>
          <w:rStyle w:val="20"/>
          <w:rFonts w:hint="default" w:ascii="Times New Roman" w:hAnsi="Times New Roman" w:eastAsia="仿宋" w:cs="Times New Roman"/>
          <w:bCs/>
          <w:color w:val="auto"/>
          <w:sz w:val="32"/>
          <w:szCs w:val="32"/>
        </w:rPr>
        <w:t>社会保障和就业支出（类）</w:t>
      </w:r>
      <w:r>
        <w:rPr>
          <w:rStyle w:val="20"/>
          <w:rFonts w:hint="default" w:ascii="Times New Roman" w:hAnsi="Times New Roman" w:eastAsia="仿宋" w:cs="Times New Roman"/>
          <w:bCs/>
          <w:color w:val="auto"/>
          <w:sz w:val="32"/>
          <w:szCs w:val="32"/>
          <w:lang w:eastAsia="zh-CN"/>
        </w:rPr>
        <w:t>行政事业单位养老支出</w:t>
      </w:r>
      <w:r>
        <w:rPr>
          <w:rStyle w:val="20"/>
          <w:rFonts w:hint="default" w:ascii="Times New Roman" w:hAnsi="Times New Roman" w:eastAsia="仿宋" w:cs="Times New Roman"/>
          <w:bCs/>
          <w:color w:val="auto"/>
          <w:sz w:val="32"/>
          <w:szCs w:val="32"/>
        </w:rPr>
        <w:t>（款）机关事业单位</w:t>
      </w:r>
      <w:r>
        <w:rPr>
          <w:rStyle w:val="20"/>
          <w:rFonts w:hint="default" w:ascii="Times New Roman" w:hAnsi="Times New Roman" w:eastAsia="仿宋" w:cs="Times New Roman"/>
          <w:bCs/>
          <w:color w:val="auto"/>
          <w:sz w:val="32"/>
          <w:szCs w:val="32"/>
          <w:lang w:eastAsia="zh-CN"/>
        </w:rPr>
        <w:t>职业年金缴费</w:t>
      </w:r>
      <w:r>
        <w:rPr>
          <w:rStyle w:val="20"/>
          <w:rFonts w:hint="default" w:ascii="Times New Roman" w:hAnsi="Times New Roman" w:eastAsia="仿宋" w:cs="Times New Roman"/>
          <w:bCs/>
          <w:color w:val="auto"/>
          <w:sz w:val="32"/>
          <w:szCs w:val="32"/>
        </w:rPr>
        <w:t>支出（项）:</w:t>
      </w:r>
      <w:r>
        <w:rPr>
          <w:rStyle w:val="20"/>
          <w:rFonts w:hint="default" w:ascii="Times New Roman" w:hAnsi="Times New Roman" w:eastAsia="仿宋" w:cs="Times New Roman"/>
          <w:b w:val="0"/>
          <w:bCs/>
          <w:color w:val="auto"/>
          <w:sz w:val="32"/>
          <w:szCs w:val="32"/>
        </w:rPr>
        <w:t>支出决算为</w:t>
      </w:r>
      <w:r>
        <w:rPr>
          <w:rStyle w:val="20"/>
          <w:rFonts w:hint="default" w:ascii="Times New Roman" w:hAnsi="Times New Roman" w:eastAsia="仿宋" w:cs="Times New Roman"/>
          <w:b w:val="0"/>
          <w:bCs/>
          <w:color w:val="auto"/>
          <w:sz w:val="32"/>
          <w:szCs w:val="32"/>
          <w:lang w:val="en-US" w:eastAsia="zh-CN"/>
        </w:rPr>
        <w:t>22.88</w:t>
      </w:r>
      <w:r>
        <w:rPr>
          <w:rStyle w:val="20"/>
          <w:rFonts w:hint="default" w:ascii="Times New Roman" w:hAnsi="Times New Roman" w:eastAsia="仿宋" w:cs="Times New Roman"/>
          <w:b w:val="0"/>
          <w:bCs/>
          <w:color w:val="auto"/>
          <w:sz w:val="32"/>
          <w:szCs w:val="32"/>
        </w:rPr>
        <w:t>万元，完成预算100%，决算数等于预算数。</w:t>
      </w:r>
    </w:p>
    <w:p w14:paraId="629B8CBF">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Style w:val="20"/>
          <w:rFonts w:hint="default" w:ascii="Times New Roman" w:hAnsi="Times New Roman" w:eastAsia="仿宋" w:cs="Times New Roman"/>
          <w:b w:val="0"/>
          <w:bCs/>
          <w:color w:val="auto"/>
          <w:sz w:val="32"/>
          <w:szCs w:val="32"/>
        </w:rPr>
      </w:pPr>
      <w:r>
        <w:rPr>
          <w:rStyle w:val="20"/>
          <w:rFonts w:hint="default" w:ascii="Times New Roman" w:hAnsi="Times New Roman" w:eastAsia="仿宋" w:cs="Times New Roman"/>
          <w:b/>
          <w:bCs w:val="0"/>
          <w:color w:val="auto"/>
          <w:sz w:val="32"/>
          <w:szCs w:val="32"/>
          <w:lang w:val="en-US" w:eastAsia="zh-CN"/>
        </w:rPr>
        <w:t>7.卫生健康支出</w:t>
      </w:r>
      <w:r>
        <w:rPr>
          <w:rStyle w:val="20"/>
          <w:rFonts w:hint="default" w:ascii="Times New Roman" w:hAnsi="Times New Roman" w:eastAsia="仿宋" w:cs="Times New Roman"/>
          <w:bCs/>
          <w:color w:val="auto"/>
          <w:sz w:val="32"/>
          <w:szCs w:val="32"/>
        </w:rPr>
        <w:t>（类）</w:t>
      </w:r>
      <w:r>
        <w:rPr>
          <w:rStyle w:val="20"/>
          <w:rFonts w:hint="default" w:ascii="Times New Roman" w:hAnsi="Times New Roman" w:eastAsia="仿宋" w:cs="Times New Roman"/>
          <w:bCs/>
          <w:color w:val="auto"/>
          <w:sz w:val="32"/>
          <w:szCs w:val="32"/>
          <w:lang w:eastAsia="zh-CN"/>
        </w:rPr>
        <w:t>行政事业单位医疗</w:t>
      </w:r>
      <w:r>
        <w:rPr>
          <w:rStyle w:val="20"/>
          <w:rFonts w:hint="default" w:ascii="Times New Roman" w:hAnsi="Times New Roman" w:eastAsia="仿宋" w:cs="Times New Roman"/>
          <w:bCs/>
          <w:color w:val="auto"/>
          <w:sz w:val="32"/>
          <w:szCs w:val="32"/>
        </w:rPr>
        <w:t>（款）</w:t>
      </w:r>
      <w:r>
        <w:rPr>
          <w:rStyle w:val="20"/>
          <w:rFonts w:hint="default" w:ascii="Times New Roman" w:hAnsi="Times New Roman" w:eastAsia="仿宋" w:cs="Times New Roman"/>
          <w:bCs/>
          <w:color w:val="auto"/>
          <w:sz w:val="32"/>
          <w:szCs w:val="32"/>
          <w:lang w:eastAsia="zh-CN"/>
        </w:rPr>
        <w:t>行政单位医疗</w:t>
      </w:r>
      <w:r>
        <w:rPr>
          <w:rStyle w:val="20"/>
          <w:rFonts w:hint="default" w:ascii="Times New Roman" w:hAnsi="Times New Roman" w:eastAsia="仿宋" w:cs="Times New Roman"/>
          <w:bCs/>
          <w:color w:val="auto"/>
          <w:sz w:val="32"/>
          <w:szCs w:val="32"/>
        </w:rPr>
        <w:t>（项）:</w:t>
      </w:r>
      <w:r>
        <w:rPr>
          <w:rStyle w:val="20"/>
          <w:rFonts w:hint="default" w:ascii="Times New Roman" w:hAnsi="Times New Roman" w:eastAsia="仿宋" w:cs="Times New Roman"/>
          <w:b w:val="0"/>
          <w:bCs/>
          <w:color w:val="auto"/>
          <w:sz w:val="32"/>
          <w:szCs w:val="32"/>
        </w:rPr>
        <w:t>支出决算为</w:t>
      </w:r>
      <w:r>
        <w:rPr>
          <w:rStyle w:val="20"/>
          <w:rFonts w:hint="default" w:ascii="Times New Roman" w:hAnsi="Times New Roman" w:eastAsia="仿宋" w:cs="Times New Roman"/>
          <w:b w:val="0"/>
          <w:bCs/>
          <w:color w:val="auto"/>
          <w:sz w:val="32"/>
          <w:szCs w:val="32"/>
          <w:lang w:val="en-US" w:eastAsia="zh-CN"/>
        </w:rPr>
        <w:t>62.24</w:t>
      </w:r>
      <w:r>
        <w:rPr>
          <w:rStyle w:val="20"/>
          <w:rFonts w:hint="default" w:ascii="Times New Roman" w:hAnsi="Times New Roman" w:eastAsia="仿宋" w:cs="Times New Roman"/>
          <w:b w:val="0"/>
          <w:bCs/>
          <w:color w:val="auto"/>
          <w:sz w:val="32"/>
          <w:szCs w:val="32"/>
        </w:rPr>
        <w:t>万元，完成预算100%，决算数等于预算数。</w:t>
      </w:r>
    </w:p>
    <w:p w14:paraId="2EE2C2A6">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Style w:val="20"/>
          <w:rFonts w:hint="default" w:ascii="Times New Roman" w:hAnsi="Times New Roman" w:eastAsia="仿宋" w:cs="Times New Roman"/>
          <w:b w:val="0"/>
          <w:bCs/>
          <w:color w:val="auto"/>
          <w:sz w:val="32"/>
          <w:szCs w:val="32"/>
        </w:rPr>
      </w:pPr>
      <w:r>
        <w:rPr>
          <w:rStyle w:val="20"/>
          <w:rFonts w:hint="default" w:ascii="Times New Roman" w:hAnsi="Times New Roman" w:eastAsia="仿宋" w:cs="Times New Roman"/>
          <w:b/>
          <w:bCs w:val="0"/>
          <w:color w:val="auto"/>
          <w:sz w:val="32"/>
          <w:szCs w:val="32"/>
          <w:lang w:val="en-US" w:eastAsia="zh-CN"/>
        </w:rPr>
        <w:t>8.卫生健康支出</w:t>
      </w:r>
      <w:r>
        <w:rPr>
          <w:rStyle w:val="20"/>
          <w:rFonts w:hint="default" w:ascii="Times New Roman" w:hAnsi="Times New Roman" w:eastAsia="仿宋" w:cs="Times New Roman"/>
          <w:bCs/>
          <w:color w:val="auto"/>
          <w:sz w:val="32"/>
          <w:szCs w:val="32"/>
        </w:rPr>
        <w:t>（类）</w:t>
      </w:r>
      <w:r>
        <w:rPr>
          <w:rStyle w:val="20"/>
          <w:rFonts w:hint="default" w:ascii="Times New Roman" w:hAnsi="Times New Roman" w:eastAsia="仿宋" w:cs="Times New Roman"/>
          <w:bCs/>
          <w:color w:val="auto"/>
          <w:sz w:val="32"/>
          <w:szCs w:val="32"/>
          <w:lang w:eastAsia="zh-CN"/>
        </w:rPr>
        <w:t>行政事业单位医疗</w:t>
      </w:r>
      <w:r>
        <w:rPr>
          <w:rStyle w:val="20"/>
          <w:rFonts w:hint="default" w:ascii="Times New Roman" w:hAnsi="Times New Roman" w:eastAsia="仿宋" w:cs="Times New Roman"/>
          <w:bCs/>
          <w:color w:val="auto"/>
          <w:sz w:val="32"/>
          <w:szCs w:val="32"/>
        </w:rPr>
        <w:t>（款）</w:t>
      </w:r>
      <w:r>
        <w:rPr>
          <w:rStyle w:val="20"/>
          <w:rFonts w:hint="default" w:ascii="Times New Roman" w:hAnsi="Times New Roman" w:eastAsia="仿宋" w:cs="Times New Roman"/>
          <w:bCs/>
          <w:color w:val="auto"/>
          <w:sz w:val="32"/>
          <w:szCs w:val="32"/>
          <w:lang w:eastAsia="zh-CN"/>
        </w:rPr>
        <w:t>公务员医疗补助</w:t>
      </w:r>
      <w:r>
        <w:rPr>
          <w:rStyle w:val="20"/>
          <w:rFonts w:hint="default" w:ascii="Times New Roman" w:hAnsi="Times New Roman" w:eastAsia="仿宋" w:cs="Times New Roman"/>
          <w:bCs/>
          <w:color w:val="auto"/>
          <w:sz w:val="32"/>
          <w:szCs w:val="32"/>
        </w:rPr>
        <w:t>（项）:</w:t>
      </w:r>
      <w:r>
        <w:rPr>
          <w:rStyle w:val="20"/>
          <w:rFonts w:hint="default" w:ascii="Times New Roman" w:hAnsi="Times New Roman" w:eastAsia="仿宋" w:cs="Times New Roman"/>
          <w:b w:val="0"/>
          <w:bCs/>
          <w:color w:val="auto"/>
          <w:sz w:val="32"/>
          <w:szCs w:val="32"/>
        </w:rPr>
        <w:t>支出决算为</w:t>
      </w:r>
      <w:r>
        <w:rPr>
          <w:rStyle w:val="20"/>
          <w:rFonts w:hint="default" w:ascii="Times New Roman" w:hAnsi="Times New Roman" w:eastAsia="仿宋" w:cs="Times New Roman"/>
          <w:b w:val="0"/>
          <w:bCs/>
          <w:color w:val="auto"/>
          <w:sz w:val="32"/>
          <w:szCs w:val="32"/>
          <w:lang w:val="en-US" w:eastAsia="zh-CN"/>
        </w:rPr>
        <w:t>7.03</w:t>
      </w:r>
      <w:r>
        <w:rPr>
          <w:rStyle w:val="20"/>
          <w:rFonts w:hint="default" w:ascii="Times New Roman" w:hAnsi="Times New Roman" w:eastAsia="仿宋" w:cs="Times New Roman"/>
          <w:b w:val="0"/>
          <w:bCs/>
          <w:color w:val="auto"/>
          <w:sz w:val="32"/>
          <w:szCs w:val="32"/>
        </w:rPr>
        <w:t>万元，完成预算100%，决算数等于预算数。</w:t>
      </w:r>
    </w:p>
    <w:p w14:paraId="1CBD0B77">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Style w:val="20"/>
          <w:rFonts w:hint="default" w:ascii="Times New Roman" w:hAnsi="Times New Roman" w:eastAsia="仿宋" w:cs="Times New Roman"/>
          <w:b w:val="0"/>
          <w:bCs/>
          <w:color w:val="auto"/>
          <w:sz w:val="32"/>
          <w:szCs w:val="32"/>
        </w:rPr>
      </w:pPr>
      <w:r>
        <w:rPr>
          <w:rStyle w:val="20"/>
          <w:rFonts w:hint="default" w:ascii="Times New Roman" w:hAnsi="Times New Roman" w:eastAsia="仿宋" w:cs="Times New Roman"/>
          <w:b/>
          <w:bCs w:val="0"/>
          <w:color w:val="auto"/>
          <w:sz w:val="32"/>
          <w:szCs w:val="32"/>
          <w:lang w:val="en-US" w:eastAsia="zh-CN"/>
        </w:rPr>
        <w:t>9.卫生健康支出</w:t>
      </w:r>
      <w:r>
        <w:rPr>
          <w:rStyle w:val="20"/>
          <w:rFonts w:hint="default" w:ascii="Times New Roman" w:hAnsi="Times New Roman" w:eastAsia="仿宋" w:cs="Times New Roman"/>
          <w:bCs/>
          <w:color w:val="auto"/>
          <w:sz w:val="32"/>
          <w:szCs w:val="32"/>
        </w:rPr>
        <w:t>（类）</w:t>
      </w:r>
      <w:r>
        <w:rPr>
          <w:rStyle w:val="20"/>
          <w:rFonts w:hint="default" w:ascii="Times New Roman" w:hAnsi="Times New Roman" w:eastAsia="仿宋" w:cs="Times New Roman"/>
          <w:bCs/>
          <w:color w:val="auto"/>
          <w:sz w:val="32"/>
          <w:szCs w:val="32"/>
          <w:lang w:eastAsia="zh-CN"/>
        </w:rPr>
        <w:t>行政事业单位医疗</w:t>
      </w:r>
      <w:r>
        <w:rPr>
          <w:rStyle w:val="20"/>
          <w:rFonts w:hint="default" w:ascii="Times New Roman" w:hAnsi="Times New Roman" w:eastAsia="仿宋" w:cs="Times New Roman"/>
          <w:bCs/>
          <w:color w:val="auto"/>
          <w:sz w:val="32"/>
          <w:szCs w:val="32"/>
        </w:rPr>
        <w:t>（款）</w:t>
      </w:r>
      <w:r>
        <w:rPr>
          <w:rStyle w:val="20"/>
          <w:rFonts w:hint="default" w:ascii="Times New Roman" w:hAnsi="Times New Roman" w:eastAsia="仿宋" w:cs="Times New Roman"/>
          <w:bCs/>
          <w:color w:val="auto"/>
          <w:sz w:val="32"/>
          <w:szCs w:val="32"/>
          <w:lang w:eastAsia="zh-CN"/>
        </w:rPr>
        <w:t>其他行政事业单位医疗支出</w:t>
      </w:r>
      <w:r>
        <w:rPr>
          <w:rStyle w:val="20"/>
          <w:rFonts w:hint="default" w:ascii="Times New Roman" w:hAnsi="Times New Roman" w:eastAsia="仿宋" w:cs="Times New Roman"/>
          <w:bCs/>
          <w:color w:val="auto"/>
          <w:sz w:val="32"/>
          <w:szCs w:val="32"/>
        </w:rPr>
        <w:t>（项）:</w:t>
      </w:r>
      <w:r>
        <w:rPr>
          <w:rStyle w:val="20"/>
          <w:rFonts w:hint="default" w:ascii="Times New Roman" w:hAnsi="Times New Roman" w:eastAsia="仿宋" w:cs="Times New Roman"/>
          <w:b w:val="0"/>
          <w:bCs/>
          <w:color w:val="auto"/>
          <w:sz w:val="32"/>
          <w:szCs w:val="32"/>
        </w:rPr>
        <w:t>支出决算为</w:t>
      </w:r>
      <w:r>
        <w:rPr>
          <w:rStyle w:val="20"/>
          <w:rFonts w:hint="default" w:ascii="Times New Roman" w:hAnsi="Times New Roman" w:eastAsia="仿宋" w:cs="Times New Roman"/>
          <w:b w:val="0"/>
          <w:bCs/>
          <w:color w:val="auto"/>
          <w:sz w:val="32"/>
          <w:szCs w:val="32"/>
          <w:lang w:val="en-US" w:eastAsia="zh-CN"/>
        </w:rPr>
        <w:t>8.08</w:t>
      </w:r>
      <w:r>
        <w:rPr>
          <w:rStyle w:val="20"/>
          <w:rFonts w:hint="default" w:ascii="Times New Roman" w:hAnsi="Times New Roman" w:eastAsia="仿宋" w:cs="Times New Roman"/>
          <w:b w:val="0"/>
          <w:bCs/>
          <w:color w:val="auto"/>
          <w:sz w:val="32"/>
          <w:szCs w:val="32"/>
        </w:rPr>
        <w:t>万元，完成预算100%，决算数等于预算数。</w:t>
      </w:r>
    </w:p>
    <w:p w14:paraId="79B6A29B">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Style w:val="20"/>
          <w:rFonts w:hint="default" w:ascii="Times New Roman" w:hAnsi="Times New Roman" w:eastAsia="仿宋" w:cs="Times New Roman"/>
          <w:b w:val="0"/>
          <w:bCs/>
          <w:color w:val="auto"/>
          <w:sz w:val="32"/>
          <w:szCs w:val="32"/>
        </w:rPr>
      </w:pPr>
      <w:r>
        <w:rPr>
          <w:rStyle w:val="20"/>
          <w:rFonts w:hint="default" w:ascii="Times New Roman" w:hAnsi="Times New Roman" w:eastAsia="仿宋" w:cs="Times New Roman"/>
          <w:b/>
          <w:bCs w:val="0"/>
          <w:color w:val="auto"/>
          <w:sz w:val="32"/>
          <w:szCs w:val="32"/>
          <w:lang w:val="en-US" w:eastAsia="zh-CN"/>
        </w:rPr>
        <w:t>10.</w:t>
      </w:r>
      <w:r>
        <w:rPr>
          <w:rStyle w:val="20"/>
          <w:rFonts w:hint="default" w:ascii="Times New Roman" w:hAnsi="Times New Roman" w:eastAsia="仿宋" w:cs="Times New Roman"/>
          <w:bCs/>
          <w:color w:val="auto"/>
          <w:sz w:val="32"/>
          <w:szCs w:val="32"/>
        </w:rPr>
        <w:t>住房保障支出（类）住房改革支出（款）住房公积金（项）:</w:t>
      </w:r>
      <w:r>
        <w:rPr>
          <w:rStyle w:val="20"/>
          <w:rFonts w:hint="default" w:ascii="Times New Roman" w:hAnsi="Times New Roman" w:eastAsia="仿宋" w:cs="Times New Roman"/>
          <w:b w:val="0"/>
          <w:bCs/>
          <w:color w:val="auto"/>
          <w:sz w:val="32"/>
          <w:szCs w:val="32"/>
        </w:rPr>
        <w:t>支出决算为</w:t>
      </w:r>
      <w:r>
        <w:rPr>
          <w:rStyle w:val="20"/>
          <w:rFonts w:hint="default" w:ascii="Times New Roman" w:hAnsi="Times New Roman" w:eastAsia="仿宋" w:cs="Times New Roman"/>
          <w:b w:val="0"/>
          <w:bCs/>
          <w:color w:val="auto"/>
          <w:sz w:val="32"/>
          <w:szCs w:val="32"/>
          <w:lang w:val="en-US" w:eastAsia="zh-CN"/>
        </w:rPr>
        <w:t>91.71</w:t>
      </w:r>
      <w:r>
        <w:rPr>
          <w:rStyle w:val="20"/>
          <w:rFonts w:hint="default" w:ascii="Times New Roman" w:hAnsi="Times New Roman" w:eastAsia="仿宋" w:cs="Times New Roman"/>
          <w:b w:val="0"/>
          <w:bCs/>
          <w:color w:val="auto"/>
          <w:sz w:val="32"/>
          <w:szCs w:val="32"/>
        </w:rPr>
        <w:t>万元，完成预算100%，决算数等于预算数。</w:t>
      </w:r>
    </w:p>
    <w:p w14:paraId="66C097F1">
      <w:pPr>
        <w:keepNext w:val="0"/>
        <w:keepLines w:val="0"/>
        <w:pageBreakBefore w:val="0"/>
        <w:widowControl w:val="0"/>
        <w:tabs>
          <w:tab w:val="right" w:pos="8306"/>
        </w:tabs>
        <w:kinsoku/>
        <w:wordWrap/>
        <w:overflowPunct/>
        <w:topLinePunct w:val="0"/>
        <w:autoSpaceDE/>
        <w:autoSpaceDN/>
        <w:bidi w:val="0"/>
        <w:adjustRightInd/>
        <w:snapToGrid/>
        <w:spacing w:line="600" w:lineRule="exact"/>
        <w:ind w:firstLine="640"/>
        <w:textAlignment w:val="auto"/>
        <w:outlineLvl w:val="1"/>
        <w:rPr>
          <w:rStyle w:val="32"/>
          <w:rFonts w:hint="default" w:ascii="Times New Roman" w:hAnsi="Times New Roman" w:cs="Times New Roman"/>
          <w:color w:val="auto"/>
          <w:highlight w:val="none"/>
        </w:rPr>
      </w:pPr>
      <w:r>
        <w:rPr>
          <w:rFonts w:hint="default" w:ascii="Times New Roman" w:hAnsi="Times New Roman" w:eastAsia="黑体" w:cs="Times New Roman"/>
          <w:color w:val="auto"/>
          <w:sz w:val="32"/>
          <w:szCs w:val="32"/>
          <w:highlight w:val="none"/>
        </w:rPr>
        <w:t>六</w:t>
      </w:r>
      <w:r>
        <w:rPr>
          <w:rFonts w:hint="default" w:ascii="Times New Roman" w:hAnsi="Times New Roman" w:eastAsia="黑体" w:cs="Times New Roman"/>
          <w:b/>
          <w:color w:val="auto"/>
          <w:sz w:val="32"/>
          <w:szCs w:val="32"/>
          <w:highlight w:val="none"/>
        </w:rPr>
        <w:t>、一</w:t>
      </w:r>
      <w:r>
        <w:rPr>
          <w:rStyle w:val="32"/>
          <w:rFonts w:hint="default" w:ascii="Times New Roman" w:hAnsi="Times New Roman" w:eastAsia="黑体" w:cs="Times New Roman"/>
          <w:b w:val="0"/>
          <w:color w:val="auto"/>
          <w:highlight w:val="none"/>
        </w:rPr>
        <w:t>般公共预算财政拨款基本支出决算情况说明</w:t>
      </w:r>
      <w:bookmarkEnd w:id="34"/>
      <w:bookmarkEnd w:id="35"/>
      <w:r>
        <w:rPr>
          <w:rStyle w:val="32"/>
          <w:rFonts w:hint="default" w:ascii="Times New Roman" w:hAnsi="Times New Roman" w:eastAsia="黑体" w:cs="Times New Roman"/>
          <w:b w:val="0"/>
          <w:color w:val="auto"/>
          <w:highlight w:val="none"/>
        </w:rPr>
        <w:tab/>
      </w:r>
    </w:p>
    <w:p w14:paraId="2FDC53FC">
      <w:pPr>
        <w:keepNext w:val="0"/>
        <w:keepLines w:val="0"/>
        <w:pageBreakBefore w:val="0"/>
        <w:widowControl w:val="0"/>
        <w:kinsoku/>
        <w:wordWrap/>
        <w:overflowPunct/>
        <w:topLinePunct w:val="0"/>
        <w:autoSpaceDE/>
        <w:autoSpaceDN/>
        <w:bidi w:val="0"/>
        <w:adjustRightInd/>
        <w:snapToGrid/>
        <w:spacing w:line="600" w:lineRule="exact"/>
        <w:ind w:firstLine="640"/>
        <w:textAlignment w:val="auto"/>
        <w:rPr>
          <w:rFonts w:hint="default" w:ascii="Times New Roman" w:hAnsi="Times New Roman" w:eastAsia="仿宋_GB2312" w:cs="Times New Roman"/>
          <w:color w:val="auto"/>
          <w:kern w:val="2"/>
          <w:sz w:val="32"/>
          <w:szCs w:val="32"/>
          <w:highlight w:val="none"/>
          <w:lang w:val="en-US" w:eastAsia="zh-CN" w:bidi="ar-SA"/>
        </w:rPr>
      </w:pPr>
      <w:r>
        <w:rPr>
          <w:rFonts w:hint="default" w:ascii="Times New Roman" w:hAnsi="Times New Roman" w:eastAsia="仿宋_GB2312" w:cs="Times New Roman"/>
          <w:color w:val="auto"/>
          <w:kern w:val="2"/>
          <w:sz w:val="32"/>
          <w:szCs w:val="32"/>
          <w:highlight w:val="none"/>
          <w:lang w:val="en-US" w:eastAsia="zh-CN" w:bidi="ar-SA"/>
        </w:rPr>
        <w:t>2024年度一般公共预算财政拨款基本支出</w:t>
      </w:r>
      <w:r>
        <w:rPr>
          <w:rFonts w:hint="default" w:ascii="Times New Roman" w:hAnsi="Times New Roman" w:eastAsia="仿宋_GB2312" w:cs="Times New Roman"/>
          <w:sz w:val="32"/>
          <w:szCs w:val="32"/>
        </w:rPr>
        <w:t>1377.74</w:t>
      </w:r>
      <w:r>
        <w:rPr>
          <w:rFonts w:hint="default" w:ascii="Times New Roman" w:hAnsi="Times New Roman" w:eastAsia="仿宋_GB2312" w:cs="Times New Roman"/>
          <w:color w:val="auto"/>
          <w:kern w:val="2"/>
          <w:sz w:val="32"/>
          <w:szCs w:val="32"/>
          <w:highlight w:val="none"/>
          <w:lang w:val="en-US" w:eastAsia="zh-CN" w:bidi="ar-SA"/>
        </w:rPr>
        <w:t>万元，其中：</w:t>
      </w:r>
    </w:p>
    <w:p w14:paraId="44059C19">
      <w:pPr>
        <w:keepNext w:val="0"/>
        <w:keepLines w:val="0"/>
        <w:pageBreakBefore w:val="0"/>
        <w:widowControl w:val="0"/>
        <w:kinsoku/>
        <w:wordWrap/>
        <w:overflowPunct/>
        <w:topLinePunct w:val="0"/>
        <w:autoSpaceDE/>
        <w:autoSpaceDN/>
        <w:bidi w:val="0"/>
        <w:adjustRightInd/>
        <w:snapToGrid/>
        <w:spacing w:line="600" w:lineRule="exact"/>
        <w:ind w:firstLine="645"/>
        <w:textAlignment w:val="auto"/>
        <w:rPr>
          <w:rFonts w:hint="default" w:ascii="Times New Roman" w:hAnsi="Times New Roman" w:eastAsia="仿宋" w:cs="Times New Roman"/>
          <w:b/>
          <w:color w:val="auto"/>
          <w:sz w:val="32"/>
          <w:szCs w:val="32"/>
        </w:rPr>
      </w:pPr>
      <w:r>
        <w:rPr>
          <w:rFonts w:hint="default" w:ascii="Times New Roman" w:hAnsi="Times New Roman" w:eastAsia="仿宋_GB2312" w:cs="Times New Roman"/>
          <w:color w:val="auto"/>
          <w:kern w:val="2"/>
          <w:sz w:val="32"/>
          <w:szCs w:val="32"/>
          <w:highlight w:val="none"/>
          <w:lang w:val="en-US" w:eastAsia="zh-CN" w:bidi="ar-SA"/>
        </w:rPr>
        <w:t>人员经费</w:t>
      </w:r>
      <w:r>
        <w:rPr>
          <w:rFonts w:hint="default" w:ascii="Times New Roman" w:hAnsi="Times New Roman" w:eastAsia="仿宋_GB2312" w:cs="Times New Roman"/>
          <w:sz w:val="32"/>
          <w:szCs w:val="32"/>
          <w:lang w:val="en-US" w:eastAsia="zh-CN"/>
        </w:rPr>
        <w:t>1237.24</w:t>
      </w:r>
      <w:r>
        <w:rPr>
          <w:rFonts w:hint="default" w:ascii="Times New Roman" w:hAnsi="Times New Roman" w:eastAsia="仿宋_GB2312" w:cs="Times New Roman"/>
          <w:color w:val="auto"/>
          <w:kern w:val="2"/>
          <w:sz w:val="32"/>
          <w:szCs w:val="32"/>
          <w:highlight w:val="none"/>
          <w:lang w:val="en-US" w:eastAsia="zh-CN" w:bidi="ar-SA"/>
        </w:rPr>
        <w:t>万元，</w:t>
      </w:r>
      <w:r>
        <w:rPr>
          <w:rFonts w:hint="default" w:ascii="Times New Roman" w:hAnsi="Times New Roman" w:eastAsia="仿宋" w:cs="Times New Roman"/>
          <w:color w:val="auto"/>
          <w:sz w:val="32"/>
          <w:szCs w:val="32"/>
          <w:highlight w:val="none"/>
        </w:rPr>
        <w:t>主要包括：基本工资、津贴补贴、奖金、机关事业单位基本养老保险缴费、职业年金缴费、</w:t>
      </w:r>
      <w:r>
        <w:rPr>
          <w:rFonts w:hint="default" w:ascii="Times New Roman" w:hAnsi="Times New Roman" w:eastAsia="仿宋" w:cs="Times New Roman"/>
          <w:color w:val="auto"/>
          <w:sz w:val="32"/>
          <w:szCs w:val="32"/>
          <w:highlight w:val="none"/>
          <w:lang w:eastAsia="zh-CN"/>
        </w:rPr>
        <w:t>职工基本医疗保险缴费、公务员医疗补助缴费、</w:t>
      </w:r>
      <w:r>
        <w:rPr>
          <w:rFonts w:hint="default" w:ascii="Times New Roman" w:hAnsi="Times New Roman" w:eastAsia="仿宋" w:cs="Times New Roman"/>
          <w:color w:val="auto"/>
          <w:sz w:val="32"/>
          <w:szCs w:val="32"/>
          <w:highlight w:val="none"/>
        </w:rPr>
        <w:t>其他社会保障缴费、其他工资福利支出、生活补助、医疗费补助、</w:t>
      </w:r>
      <w:r>
        <w:rPr>
          <w:rFonts w:hint="default" w:ascii="Times New Roman" w:hAnsi="Times New Roman" w:eastAsia="仿宋" w:cs="Times New Roman"/>
          <w:color w:val="auto"/>
          <w:sz w:val="32"/>
          <w:szCs w:val="32"/>
          <w:highlight w:val="none"/>
          <w:lang w:eastAsia="zh-CN"/>
        </w:rPr>
        <w:t>奖励金、</w:t>
      </w:r>
      <w:r>
        <w:rPr>
          <w:rFonts w:hint="default" w:ascii="Times New Roman" w:hAnsi="Times New Roman" w:eastAsia="仿宋" w:cs="Times New Roman"/>
          <w:color w:val="auto"/>
          <w:sz w:val="32"/>
          <w:szCs w:val="32"/>
          <w:highlight w:val="none"/>
        </w:rPr>
        <w:t>住房公积金等。</w:t>
      </w:r>
      <w:r>
        <w:rPr>
          <w:rFonts w:hint="default" w:ascii="Times New Roman" w:hAnsi="Times New Roman" w:eastAsia="仿宋" w:cs="Times New Roman"/>
          <w:color w:val="auto"/>
          <w:sz w:val="32"/>
          <w:szCs w:val="32"/>
          <w:highlight w:val="none"/>
        </w:rPr>
        <w:br w:type="textWrapping"/>
      </w:r>
      <w:r>
        <w:rPr>
          <w:rFonts w:hint="default" w:ascii="Times New Roman" w:hAnsi="Times New Roman" w:eastAsia="仿宋_GB2312" w:cs="Times New Roman"/>
          <w:color w:val="auto"/>
          <w:kern w:val="2"/>
          <w:sz w:val="32"/>
          <w:szCs w:val="32"/>
          <w:highlight w:val="none"/>
          <w:lang w:val="en-US" w:eastAsia="zh-CN" w:bidi="ar-SA"/>
        </w:rPr>
        <w:t>　　公用经费</w:t>
      </w:r>
      <w:r>
        <w:rPr>
          <w:rFonts w:hint="default" w:ascii="Times New Roman" w:hAnsi="Times New Roman" w:eastAsia="仿宋_GB2312" w:cs="Times New Roman"/>
          <w:sz w:val="32"/>
          <w:szCs w:val="32"/>
        </w:rPr>
        <w:t>140.5</w:t>
      </w:r>
      <w:r>
        <w:rPr>
          <w:rFonts w:hint="default" w:ascii="Times New Roman" w:hAnsi="Times New Roman" w:eastAsia="仿宋_GB2312" w:cs="Times New Roman"/>
          <w:color w:val="auto"/>
          <w:kern w:val="2"/>
          <w:sz w:val="32"/>
          <w:szCs w:val="32"/>
          <w:highlight w:val="none"/>
          <w:lang w:val="en-US" w:eastAsia="zh-CN" w:bidi="ar-SA"/>
        </w:rPr>
        <w:t>万元，</w:t>
      </w:r>
      <w:r>
        <w:rPr>
          <w:rFonts w:hint="default" w:ascii="Times New Roman" w:hAnsi="Times New Roman" w:eastAsia="仿宋" w:cs="Times New Roman"/>
          <w:color w:val="auto"/>
          <w:sz w:val="32"/>
          <w:szCs w:val="32"/>
          <w:highlight w:val="none"/>
        </w:rPr>
        <w:t>主要包括：</w:t>
      </w:r>
      <w:r>
        <w:rPr>
          <w:rFonts w:hint="default" w:ascii="Times New Roman" w:hAnsi="Times New Roman" w:eastAsia="仿宋" w:cs="Times New Roman"/>
          <w:color w:val="auto"/>
          <w:sz w:val="32"/>
          <w:szCs w:val="32"/>
        </w:rPr>
        <w:t>办公费、邮电费、差旅费、</w:t>
      </w:r>
      <w:r>
        <w:rPr>
          <w:rFonts w:hint="default" w:ascii="Times New Roman" w:hAnsi="Times New Roman" w:eastAsia="仿宋" w:cs="Times New Roman"/>
          <w:color w:val="auto"/>
          <w:sz w:val="32"/>
          <w:szCs w:val="32"/>
          <w:lang w:eastAsia="zh-CN"/>
        </w:rPr>
        <w:t>维修（护）费、</w:t>
      </w:r>
      <w:r>
        <w:rPr>
          <w:rFonts w:hint="default" w:ascii="Times New Roman" w:hAnsi="Times New Roman" w:eastAsia="仿宋" w:cs="Times New Roman"/>
          <w:color w:val="auto"/>
          <w:sz w:val="32"/>
          <w:szCs w:val="32"/>
        </w:rPr>
        <w:t>公务接待费、</w:t>
      </w:r>
      <w:r>
        <w:rPr>
          <w:rFonts w:hint="default" w:ascii="Times New Roman" w:hAnsi="Times New Roman" w:eastAsia="仿宋" w:cs="Times New Roman"/>
          <w:color w:val="auto"/>
          <w:sz w:val="32"/>
          <w:szCs w:val="32"/>
          <w:lang w:eastAsia="zh-CN"/>
        </w:rPr>
        <w:t>培训费、</w:t>
      </w:r>
      <w:r>
        <w:rPr>
          <w:rFonts w:hint="default" w:ascii="Times New Roman" w:hAnsi="Times New Roman" w:eastAsia="仿宋" w:cs="Times New Roman"/>
          <w:color w:val="auto"/>
          <w:sz w:val="32"/>
          <w:szCs w:val="32"/>
        </w:rPr>
        <w:t>工会经费、福利费、公务用车运行维护费、其他交通费、其他商品和服务支出</w:t>
      </w:r>
      <w:r>
        <w:rPr>
          <w:rFonts w:hint="default" w:ascii="Times New Roman" w:hAnsi="Times New Roman" w:eastAsia="仿宋" w:cs="Times New Roman"/>
          <w:color w:val="auto"/>
          <w:sz w:val="32"/>
          <w:szCs w:val="32"/>
          <w:lang w:eastAsia="zh-CN"/>
        </w:rPr>
        <w:t>等</w:t>
      </w:r>
      <w:r>
        <w:rPr>
          <w:rFonts w:hint="default" w:ascii="Times New Roman" w:hAnsi="Times New Roman" w:eastAsia="仿宋" w:cs="Times New Roman"/>
          <w:color w:val="auto"/>
          <w:sz w:val="32"/>
          <w:szCs w:val="32"/>
        </w:rPr>
        <w:t>。</w:t>
      </w:r>
    </w:p>
    <w:p w14:paraId="79E849D4">
      <w:pPr>
        <w:keepNext w:val="0"/>
        <w:keepLines w:val="0"/>
        <w:pageBreakBefore w:val="0"/>
        <w:widowControl w:val="0"/>
        <w:kinsoku/>
        <w:wordWrap/>
        <w:overflowPunct/>
        <w:topLinePunct w:val="0"/>
        <w:autoSpaceDE/>
        <w:autoSpaceDN/>
        <w:bidi w:val="0"/>
        <w:adjustRightInd/>
        <w:snapToGrid/>
        <w:spacing w:line="600" w:lineRule="exact"/>
        <w:ind w:firstLine="640"/>
        <w:textAlignment w:val="auto"/>
        <w:outlineLvl w:val="1"/>
        <w:rPr>
          <w:rStyle w:val="32"/>
          <w:rFonts w:hint="default" w:ascii="Times New Roman" w:hAnsi="Times New Roman" w:eastAsia="黑体" w:cs="Times New Roman"/>
          <w:b w:val="0"/>
          <w:color w:val="auto"/>
          <w:highlight w:val="none"/>
        </w:rPr>
      </w:pPr>
      <w:bookmarkStart w:id="36" w:name="_Toc15377215"/>
      <w:bookmarkStart w:id="37" w:name="_Toc15396609"/>
      <w:r>
        <w:rPr>
          <w:rFonts w:hint="default" w:ascii="Times New Roman" w:hAnsi="Times New Roman" w:eastAsia="黑体" w:cs="Times New Roman"/>
          <w:color w:val="auto"/>
          <w:sz w:val="32"/>
          <w:szCs w:val="32"/>
          <w:highlight w:val="none"/>
        </w:rPr>
        <w:t>七、</w:t>
      </w:r>
      <w:r>
        <w:rPr>
          <w:rStyle w:val="32"/>
          <w:rFonts w:hint="default" w:ascii="Times New Roman" w:hAnsi="Times New Roman" w:eastAsia="黑体" w:cs="Times New Roman"/>
          <w:b w:val="0"/>
          <w:color w:val="auto"/>
          <w:highlight w:val="none"/>
        </w:rPr>
        <w:t>财政拨款</w:t>
      </w:r>
      <w:r>
        <w:rPr>
          <w:rStyle w:val="32"/>
          <w:rFonts w:hint="default" w:ascii="Times New Roman" w:hAnsi="Times New Roman" w:eastAsia="黑体" w:cs="Times New Roman"/>
          <w:color w:val="auto"/>
          <w:highlight w:val="none"/>
        </w:rPr>
        <w:t>“</w:t>
      </w:r>
      <w:r>
        <w:rPr>
          <w:rStyle w:val="32"/>
          <w:rFonts w:hint="default" w:ascii="Times New Roman" w:hAnsi="Times New Roman" w:eastAsia="黑体" w:cs="Times New Roman"/>
          <w:b w:val="0"/>
          <w:color w:val="auto"/>
          <w:highlight w:val="none"/>
        </w:rPr>
        <w:t>三公”经费支出决算情况说明</w:t>
      </w:r>
      <w:bookmarkEnd w:id="36"/>
      <w:bookmarkEnd w:id="37"/>
    </w:p>
    <w:p w14:paraId="05BD8A83">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2"/>
        <w:rPr>
          <w:rFonts w:hint="default" w:ascii="Times New Roman" w:hAnsi="Times New Roman" w:eastAsia="楷体_GB2312" w:cs="Times New Roman"/>
          <w:b/>
          <w:color w:val="auto"/>
          <w:sz w:val="32"/>
          <w:szCs w:val="32"/>
          <w:highlight w:val="none"/>
        </w:rPr>
      </w:pPr>
      <w:bookmarkStart w:id="38" w:name="_Toc15377216"/>
      <w:r>
        <w:rPr>
          <w:rFonts w:hint="default" w:ascii="Times New Roman" w:hAnsi="Times New Roman" w:eastAsia="楷体_GB2312" w:cs="Times New Roman"/>
          <w:b/>
          <w:color w:val="auto"/>
          <w:sz w:val="32"/>
          <w:szCs w:val="32"/>
          <w:highlight w:val="none"/>
        </w:rPr>
        <w:t>（一）“三公”经费财政拨款支出决算总体情况说明</w:t>
      </w:r>
      <w:bookmarkEnd w:id="38"/>
    </w:p>
    <w:p w14:paraId="2A5BD9D3">
      <w:pPr>
        <w:keepNext w:val="0"/>
        <w:keepLines w:val="0"/>
        <w:pageBreakBefore w:val="0"/>
        <w:widowControl w:val="0"/>
        <w:kinsoku/>
        <w:wordWrap/>
        <w:overflowPunct/>
        <w:topLinePunct w:val="0"/>
        <w:autoSpaceDE/>
        <w:autoSpaceDN/>
        <w:bidi w:val="0"/>
        <w:adjustRightInd/>
        <w:snapToGrid/>
        <w:spacing w:line="600" w:lineRule="exact"/>
        <w:ind w:firstLine="640"/>
        <w:textAlignment w:val="auto"/>
        <w:rPr>
          <w:rFonts w:hint="default" w:ascii="Times New Roman" w:hAnsi="Times New Roman" w:eastAsia="仿宋" w:cs="Times New Roman"/>
          <w:color w:val="auto"/>
          <w:sz w:val="32"/>
          <w:szCs w:val="32"/>
          <w:highlight w:val="none"/>
        </w:rPr>
      </w:pPr>
      <w:r>
        <w:rPr>
          <w:rFonts w:hint="default" w:ascii="Times New Roman" w:hAnsi="Times New Roman" w:eastAsia="仿宋_GB2312" w:cs="Times New Roman"/>
          <w:color w:val="auto"/>
          <w:kern w:val="2"/>
          <w:sz w:val="32"/>
          <w:szCs w:val="32"/>
          <w:highlight w:val="none"/>
          <w:lang w:val="en-US" w:eastAsia="zh-CN" w:bidi="ar-SA"/>
        </w:rPr>
        <w:t>2024年度“三公”经费财政拨款支出决算为</w:t>
      </w:r>
      <w:r>
        <w:rPr>
          <w:rFonts w:hint="default" w:ascii="Times New Roman" w:hAnsi="Times New Roman" w:eastAsia="仿宋_GB2312" w:cs="Times New Roman"/>
          <w:sz w:val="32"/>
          <w:szCs w:val="32"/>
        </w:rPr>
        <w:t>2.24</w:t>
      </w:r>
      <w:r>
        <w:rPr>
          <w:rFonts w:hint="default" w:ascii="Times New Roman" w:hAnsi="Times New Roman" w:eastAsia="仿宋_GB2312" w:cs="Times New Roman"/>
          <w:color w:val="auto"/>
          <w:kern w:val="2"/>
          <w:sz w:val="32"/>
          <w:szCs w:val="32"/>
          <w:highlight w:val="none"/>
          <w:lang w:val="en-US" w:eastAsia="zh-CN" w:bidi="ar-SA"/>
        </w:rPr>
        <w:t>万元，完成预算</w:t>
      </w:r>
      <w:r>
        <w:rPr>
          <w:rFonts w:hint="default" w:ascii="Times New Roman" w:hAnsi="Times New Roman" w:eastAsia="仿宋_GB2312" w:cs="Times New Roman"/>
          <w:sz w:val="32"/>
          <w:szCs w:val="32"/>
        </w:rPr>
        <w:t>100</w:t>
      </w:r>
      <w:r>
        <w:rPr>
          <w:rFonts w:hint="default" w:ascii="Times New Roman" w:hAnsi="Times New Roman" w:eastAsia="仿宋_GB2312" w:cs="Times New Roman"/>
          <w:color w:val="auto"/>
          <w:kern w:val="2"/>
          <w:sz w:val="32"/>
          <w:szCs w:val="32"/>
          <w:highlight w:val="none"/>
          <w:lang w:val="en-US" w:eastAsia="zh-CN" w:bidi="ar-SA"/>
        </w:rPr>
        <w:t>%，较上年度减少0.11万元，下降4.68%。</w:t>
      </w:r>
      <w:r>
        <w:rPr>
          <w:rFonts w:hint="default" w:ascii="Times New Roman" w:hAnsi="Times New Roman" w:eastAsia="仿宋" w:cs="Times New Roman"/>
          <w:color w:val="auto"/>
          <w:sz w:val="32"/>
          <w:szCs w:val="32"/>
        </w:rPr>
        <w:t>决算数与预算数持平。</w:t>
      </w:r>
    </w:p>
    <w:p w14:paraId="288DFBD7">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2"/>
        <w:rPr>
          <w:rFonts w:hint="default" w:ascii="Times New Roman" w:hAnsi="Times New Roman" w:eastAsia="楷体_GB2312" w:cs="Times New Roman"/>
          <w:b/>
          <w:color w:val="auto"/>
          <w:sz w:val="32"/>
          <w:szCs w:val="32"/>
          <w:highlight w:val="none"/>
        </w:rPr>
      </w:pPr>
      <w:bookmarkStart w:id="39" w:name="_Toc15377217"/>
      <w:r>
        <w:rPr>
          <w:rFonts w:hint="default" w:ascii="Times New Roman" w:hAnsi="Times New Roman" w:eastAsia="楷体_GB2312" w:cs="Times New Roman"/>
          <w:b/>
          <w:color w:val="auto"/>
          <w:sz w:val="32"/>
          <w:szCs w:val="32"/>
          <w:highlight w:val="none"/>
        </w:rPr>
        <w:t>（二）“三公”经费财政拨款支出决算具体情况说明</w:t>
      </w:r>
      <w:bookmarkEnd w:id="39"/>
    </w:p>
    <w:p w14:paraId="260F4B40">
      <w:pPr>
        <w:keepNext w:val="0"/>
        <w:keepLines w:val="0"/>
        <w:pageBreakBefore w:val="0"/>
        <w:widowControl w:val="0"/>
        <w:kinsoku/>
        <w:wordWrap/>
        <w:overflowPunct/>
        <w:topLinePunct w:val="0"/>
        <w:autoSpaceDE/>
        <w:autoSpaceDN/>
        <w:bidi w:val="0"/>
        <w:adjustRightInd/>
        <w:snapToGrid/>
        <w:spacing w:line="600" w:lineRule="exact"/>
        <w:ind w:firstLine="640"/>
        <w:textAlignment w:val="auto"/>
        <w:rPr>
          <w:rFonts w:hint="default" w:ascii="Times New Roman" w:hAnsi="Times New Roman" w:eastAsia="仿宋_GB2312" w:cs="Times New Roman"/>
          <w:color w:val="auto"/>
          <w:kern w:val="2"/>
          <w:sz w:val="32"/>
          <w:szCs w:val="32"/>
          <w:highlight w:val="none"/>
          <w:lang w:val="en-US" w:eastAsia="zh-CN" w:bidi="ar-SA"/>
        </w:rPr>
      </w:pPr>
      <w:r>
        <w:rPr>
          <w:rFonts w:hint="default" w:ascii="Times New Roman" w:hAnsi="Times New Roman" w:eastAsia="仿宋_GB2312" w:cs="Times New Roman"/>
          <w:color w:val="auto"/>
          <w:kern w:val="2"/>
          <w:sz w:val="32"/>
          <w:szCs w:val="32"/>
          <w:highlight w:val="none"/>
          <w:lang w:val="en-US" w:eastAsia="zh-CN" w:bidi="ar-SA"/>
        </w:rPr>
        <w:t>2024年度“三公”经费财政拨款支出决算中，因公出国（境）费支出决算</w:t>
      </w:r>
      <w:r>
        <w:rPr>
          <w:rFonts w:hint="default" w:ascii="Times New Roman" w:hAnsi="Times New Roman" w:eastAsia="仿宋_GB2312" w:cs="Times New Roman"/>
          <w:sz w:val="32"/>
          <w:szCs w:val="32"/>
        </w:rPr>
        <w:t>0</w:t>
      </w:r>
      <w:r>
        <w:rPr>
          <w:rFonts w:hint="default" w:ascii="Times New Roman" w:hAnsi="Times New Roman" w:eastAsia="仿宋_GB2312" w:cs="Times New Roman"/>
          <w:color w:val="auto"/>
          <w:kern w:val="2"/>
          <w:sz w:val="32"/>
          <w:szCs w:val="32"/>
          <w:highlight w:val="none"/>
          <w:lang w:val="en-US" w:eastAsia="zh-CN" w:bidi="ar-SA"/>
        </w:rPr>
        <w:t>万元，占0%；公务用车购置及运行维护费支出决算</w:t>
      </w:r>
      <w:r>
        <w:rPr>
          <w:rFonts w:hint="default" w:ascii="Times New Roman" w:hAnsi="Times New Roman" w:eastAsia="仿宋_GB2312" w:cs="Times New Roman"/>
          <w:sz w:val="32"/>
          <w:szCs w:val="32"/>
        </w:rPr>
        <w:t>1.1</w:t>
      </w:r>
      <w:r>
        <w:rPr>
          <w:rFonts w:hint="default" w:ascii="Times New Roman" w:hAnsi="Times New Roman" w:eastAsia="仿宋_GB2312" w:cs="Times New Roman"/>
          <w:sz w:val="32"/>
          <w:szCs w:val="32"/>
          <w:lang w:val="en-US" w:eastAsia="zh-CN"/>
        </w:rPr>
        <w:t>3</w:t>
      </w:r>
      <w:r>
        <w:rPr>
          <w:rFonts w:hint="default" w:ascii="Times New Roman" w:hAnsi="Times New Roman" w:eastAsia="仿宋_GB2312" w:cs="Times New Roman"/>
          <w:color w:val="auto"/>
          <w:kern w:val="2"/>
          <w:sz w:val="32"/>
          <w:szCs w:val="32"/>
          <w:highlight w:val="none"/>
          <w:lang w:val="en-US" w:eastAsia="zh-CN" w:bidi="ar-SA"/>
        </w:rPr>
        <w:t>万元，占50.45%；公务接待费支出决算</w:t>
      </w:r>
      <w:r>
        <w:rPr>
          <w:rFonts w:hint="default" w:ascii="Times New Roman" w:hAnsi="Times New Roman" w:eastAsia="仿宋_GB2312" w:cs="Times New Roman"/>
          <w:sz w:val="32"/>
          <w:szCs w:val="32"/>
        </w:rPr>
        <w:t>1.11</w:t>
      </w:r>
      <w:r>
        <w:rPr>
          <w:rFonts w:hint="default" w:ascii="Times New Roman" w:hAnsi="Times New Roman" w:eastAsia="仿宋_GB2312" w:cs="Times New Roman"/>
          <w:color w:val="auto"/>
          <w:kern w:val="2"/>
          <w:sz w:val="32"/>
          <w:szCs w:val="32"/>
          <w:highlight w:val="none"/>
          <w:lang w:val="en-US" w:eastAsia="zh-CN" w:bidi="ar-SA"/>
        </w:rPr>
        <w:t>万元，占49.55%。具体情况如下：</w:t>
      </w:r>
    </w:p>
    <w:p w14:paraId="36CB1767">
      <w:pPr>
        <w:keepNext w:val="0"/>
        <w:keepLines w:val="0"/>
        <w:pageBreakBefore w:val="0"/>
        <w:widowControl w:val="0"/>
        <w:kinsoku/>
        <w:wordWrap/>
        <w:overflowPunct/>
        <w:topLinePunct w:val="0"/>
        <w:autoSpaceDE/>
        <w:autoSpaceDN/>
        <w:bidi w:val="0"/>
        <w:adjustRightInd/>
        <w:snapToGrid/>
        <w:spacing w:line="360" w:lineRule="auto"/>
        <w:ind w:firstLine="640"/>
        <w:jc w:val="center"/>
        <w:textAlignment w:val="auto"/>
        <w:rPr>
          <w:rFonts w:hint="default" w:ascii="Times New Roman" w:hAnsi="Times New Roman" w:eastAsia="仿宋_GB2312" w:cs="Times New Roman"/>
          <w:color w:val="auto"/>
          <w:kern w:val="2"/>
          <w:sz w:val="32"/>
          <w:szCs w:val="32"/>
          <w:highlight w:val="none"/>
          <w:lang w:val="en-US" w:eastAsia="zh-CN" w:bidi="ar-SA"/>
        </w:rPr>
      </w:pPr>
      <w:r>
        <w:rPr>
          <w:rFonts w:hint="default" w:ascii="Times New Roman" w:hAnsi="Times New Roman" w:cs="Times New Roman"/>
        </w:rPr>
        <w:drawing>
          <wp:inline distT="0" distB="0" distL="114300" distR="114300">
            <wp:extent cx="4826000" cy="2743200"/>
            <wp:effectExtent l="4445" t="4445" r="8255" b="52705"/>
            <wp:docPr id="10" name="图表 9" descr="7b0a202020202263686172745265734964223a20223230343638353536220a7d0a"/>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7480D7B2">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b/>
          <w:bCs/>
          <w:color w:val="auto"/>
          <w:kern w:val="2"/>
          <w:sz w:val="32"/>
          <w:szCs w:val="32"/>
          <w:highlight w:val="none"/>
          <w:lang w:val="en-US" w:eastAsia="zh-CN" w:bidi="ar-SA"/>
        </w:rPr>
        <w:t>1.因公出国（境）经费支出0万元，完成预算0%。</w:t>
      </w:r>
      <w:r>
        <w:rPr>
          <w:rFonts w:hint="default" w:ascii="Times New Roman" w:hAnsi="Times New Roman" w:eastAsia="仿宋_GB2312" w:cs="Times New Roman"/>
          <w:color w:val="auto"/>
          <w:sz w:val="32"/>
          <w:szCs w:val="32"/>
          <w:highlight w:val="none"/>
        </w:rPr>
        <w:t>全年安排因公出国（境）团组</w:t>
      </w:r>
      <w:r>
        <w:rPr>
          <w:rFonts w:hint="default" w:ascii="Times New Roman" w:hAnsi="Times New Roman" w:eastAsia="仿宋_GB2312" w:cs="Times New Roman"/>
          <w:color w:val="auto"/>
          <w:sz w:val="32"/>
          <w:szCs w:val="32"/>
          <w:highlight w:val="none"/>
          <w:lang w:val="en-US" w:eastAsia="zh-CN"/>
        </w:rPr>
        <w:t>0</w:t>
      </w:r>
      <w:r>
        <w:rPr>
          <w:rFonts w:hint="default" w:ascii="Times New Roman" w:hAnsi="Times New Roman" w:eastAsia="仿宋_GB2312" w:cs="Times New Roman"/>
          <w:color w:val="auto"/>
          <w:sz w:val="32"/>
          <w:szCs w:val="32"/>
          <w:highlight w:val="none"/>
        </w:rPr>
        <w:t>次，出国（境）</w:t>
      </w:r>
      <w:r>
        <w:rPr>
          <w:rFonts w:hint="default" w:ascii="Times New Roman" w:hAnsi="Times New Roman" w:eastAsia="仿宋_GB2312" w:cs="Times New Roman"/>
          <w:color w:val="auto"/>
          <w:sz w:val="32"/>
          <w:szCs w:val="32"/>
          <w:highlight w:val="none"/>
          <w:lang w:val="en-US" w:eastAsia="zh-CN"/>
        </w:rPr>
        <w:t>0</w:t>
      </w:r>
      <w:r>
        <w:rPr>
          <w:rFonts w:hint="default" w:ascii="Times New Roman" w:hAnsi="Times New Roman" w:eastAsia="仿宋_GB2312" w:cs="Times New Roman"/>
          <w:color w:val="auto"/>
          <w:sz w:val="32"/>
          <w:szCs w:val="32"/>
          <w:highlight w:val="none"/>
        </w:rPr>
        <w:t>人。因公出国（境）支出决算比</w:t>
      </w:r>
      <w:r>
        <w:rPr>
          <w:rFonts w:hint="default" w:ascii="Times New Roman" w:hAnsi="Times New Roman" w:eastAsia="仿宋_GB2312" w:cs="Times New Roman"/>
          <w:color w:val="auto"/>
          <w:sz w:val="32"/>
          <w:szCs w:val="32"/>
          <w:highlight w:val="none"/>
          <w:lang w:eastAsia="zh-CN"/>
        </w:rPr>
        <w:t>202</w:t>
      </w:r>
      <w:r>
        <w:rPr>
          <w:rFonts w:hint="default" w:ascii="Times New Roman" w:hAnsi="Times New Roman" w:eastAsia="仿宋_GB2312" w:cs="Times New Roman"/>
          <w:color w:val="auto"/>
          <w:sz w:val="32"/>
          <w:szCs w:val="32"/>
          <w:highlight w:val="none"/>
          <w:lang w:val="en-US" w:eastAsia="zh-CN"/>
        </w:rPr>
        <w:t>3</w:t>
      </w:r>
      <w:r>
        <w:rPr>
          <w:rFonts w:hint="default" w:ascii="Times New Roman" w:hAnsi="Times New Roman" w:eastAsia="仿宋_GB2312" w:cs="Times New Roman"/>
          <w:color w:val="auto"/>
          <w:sz w:val="32"/>
          <w:szCs w:val="32"/>
          <w:highlight w:val="none"/>
        </w:rPr>
        <w:t>年</w:t>
      </w:r>
      <w:r>
        <w:rPr>
          <w:rFonts w:hint="default" w:ascii="Times New Roman" w:hAnsi="Times New Roman" w:eastAsia="仿宋_GB2312" w:cs="Times New Roman"/>
          <w:color w:val="auto"/>
          <w:sz w:val="32"/>
          <w:szCs w:val="32"/>
          <w:highlight w:val="none"/>
          <w:lang w:eastAsia="zh-CN"/>
        </w:rPr>
        <w:t>度</w:t>
      </w:r>
      <w:r>
        <w:rPr>
          <w:rFonts w:hint="default" w:ascii="Times New Roman" w:hAnsi="Times New Roman" w:eastAsia="仿宋_GB2312" w:cs="Times New Roman"/>
          <w:color w:val="auto"/>
          <w:sz w:val="32"/>
          <w:szCs w:val="32"/>
          <w:highlight w:val="none"/>
        </w:rPr>
        <w:t>增加</w:t>
      </w:r>
      <w:r>
        <w:rPr>
          <w:rFonts w:hint="default" w:ascii="Times New Roman" w:hAnsi="Times New Roman" w:eastAsia="仿宋_GB2312" w:cs="Times New Roman"/>
          <w:color w:val="auto"/>
          <w:sz w:val="32"/>
          <w:szCs w:val="32"/>
          <w:highlight w:val="none"/>
          <w:lang w:val="en-US" w:eastAsia="zh-CN"/>
        </w:rPr>
        <w:t>0</w:t>
      </w:r>
      <w:r>
        <w:rPr>
          <w:rFonts w:hint="default" w:ascii="Times New Roman" w:hAnsi="Times New Roman" w:eastAsia="仿宋_GB2312" w:cs="Times New Roman"/>
          <w:color w:val="auto"/>
          <w:sz w:val="32"/>
          <w:szCs w:val="32"/>
          <w:highlight w:val="none"/>
        </w:rPr>
        <w:t>万元，增长</w:t>
      </w:r>
      <w:r>
        <w:rPr>
          <w:rFonts w:hint="default" w:ascii="Times New Roman" w:hAnsi="Times New Roman" w:eastAsia="仿宋_GB2312" w:cs="Times New Roman"/>
          <w:color w:val="auto"/>
          <w:sz w:val="32"/>
          <w:szCs w:val="32"/>
          <w:highlight w:val="none"/>
          <w:lang w:val="en-US" w:eastAsia="zh-CN"/>
        </w:rPr>
        <w:t>0</w:t>
      </w:r>
      <w:r>
        <w:rPr>
          <w:rFonts w:hint="default" w:ascii="Times New Roman" w:hAnsi="Times New Roman" w:eastAsia="仿宋_GB2312" w:cs="Times New Roman"/>
          <w:color w:val="auto"/>
          <w:sz w:val="32"/>
          <w:szCs w:val="32"/>
          <w:highlight w:val="none"/>
        </w:rPr>
        <w:t>%。</w:t>
      </w:r>
    </w:p>
    <w:p w14:paraId="3FED74E6">
      <w:pPr>
        <w:keepNext w:val="0"/>
        <w:keepLines w:val="0"/>
        <w:pageBreakBefore w:val="0"/>
        <w:widowControl w:val="0"/>
        <w:numPr>
          <w:ilvl w:val="0"/>
          <w:numId w:val="0"/>
        </w:numPr>
        <w:kinsoku/>
        <w:wordWrap/>
        <w:overflowPunct/>
        <w:topLinePunct w:val="0"/>
        <w:autoSpaceDE/>
        <w:autoSpaceDN/>
        <w:bidi w:val="0"/>
        <w:spacing w:line="600" w:lineRule="exact"/>
        <w:ind w:firstLine="643" w:firstLineChars="200"/>
        <w:textAlignment w:val="auto"/>
        <w:rPr>
          <w:rFonts w:hint="default" w:ascii="Times New Roman" w:hAnsi="Times New Roman" w:eastAsia="仿宋_GB2312" w:cs="Times New Roman"/>
          <w:b/>
          <w:color w:val="auto"/>
          <w:sz w:val="32"/>
          <w:szCs w:val="32"/>
          <w:highlight w:val="none"/>
        </w:rPr>
      </w:pPr>
      <w:r>
        <w:rPr>
          <w:rFonts w:hint="default" w:ascii="Times New Roman" w:hAnsi="Times New Roman" w:eastAsia="仿宋_GB2312" w:cs="Times New Roman"/>
          <w:b/>
          <w:bCs/>
          <w:color w:val="auto"/>
          <w:kern w:val="2"/>
          <w:sz w:val="32"/>
          <w:szCs w:val="32"/>
          <w:highlight w:val="none"/>
          <w:lang w:val="en-US" w:eastAsia="zh-CN" w:bidi="ar-SA"/>
        </w:rPr>
        <w:t>2.公务用车购置及运行维护费支出1.13万元，完成预算100%。</w:t>
      </w:r>
      <w:r>
        <w:rPr>
          <w:rFonts w:hint="default" w:ascii="Times New Roman" w:hAnsi="Times New Roman" w:eastAsia="仿宋_GB2312" w:cs="Times New Roman"/>
          <w:color w:val="auto"/>
          <w:kern w:val="2"/>
          <w:sz w:val="32"/>
          <w:szCs w:val="32"/>
          <w:highlight w:val="none"/>
          <w:lang w:val="en-US" w:eastAsia="zh-CN" w:bidi="ar-SA"/>
        </w:rPr>
        <w:t>公务用车购置及运行维护费支出决算比2023年度减少0.04万元，下降3.42%。</w:t>
      </w:r>
      <w:r>
        <w:rPr>
          <w:rFonts w:hint="default" w:ascii="Times New Roman" w:hAnsi="Times New Roman" w:eastAsia="仿宋_GB2312" w:cs="Times New Roman"/>
          <w:color w:val="auto"/>
          <w:sz w:val="32"/>
          <w:szCs w:val="32"/>
          <w:highlight w:val="none"/>
        </w:rPr>
        <w:t>主要原因是</w:t>
      </w:r>
      <w:r>
        <w:rPr>
          <w:rFonts w:hint="default" w:ascii="Times New Roman" w:hAnsi="Times New Roman" w:eastAsia="仿宋_GB2312" w:cs="Times New Roman"/>
          <w:color w:val="auto"/>
          <w:sz w:val="32"/>
          <w:szCs w:val="32"/>
          <w:highlight w:val="none"/>
          <w:lang w:eastAsia="zh-CN"/>
        </w:rPr>
        <w:t>压减</w:t>
      </w:r>
      <w:r>
        <w:rPr>
          <w:rFonts w:hint="default" w:ascii="Times New Roman" w:hAnsi="Times New Roman" w:eastAsia="仿宋_GB2312" w:cs="Times New Roman"/>
          <w:color w:val="auto"/>
          <w:sz w:val="32"/>
          <w:szCs w:val="32"/>
          <w:highlight w:val="none"/>
        </w:rPr>
        <w:t>公务用车购置及运行维护</w:t>
      </w:r>
      <w:r>
        <w:rPr>
          <w:rFonts w:hint="default" w:ascii="Times New Roman" w:hAnsi="Times New Roman" w:eastAsia="仿宋_GB2312" w:cs="Times New Roman"/>
          <w:color w:val="auto"/>
          <w:sz w:val="32"/>
          <w:szCs w:val="32"/>
          <w:highlight w:val="none"/>
          <w:lang w:eastAsia="zh-CN"/>
        </w:rPr>
        <w:t>支出</w:t>
      </w:r>
      <w:r>
        <w:rPr>
          <w:rFonts w:hint="default" w:ascii="Times New Roman" w:hAnsi="Times New Roman" w:eastAsia="仿宋_GB2312" w:cs="Times New Roman"/>
          <w:color w:val="auto"/>
          <w:sz w:val="32"/>
          <w:szCs w:val="32"/>
          <w:highlight w:val="none"/>
        </w:rPr>
        <w:t>。</w:t>
      </w:r>
    </w:p>
    <w:p w14:paraId="36A1E2D7">
      <w:pPr>
        <w:keepNext w:val="0"/>
        <w:keepLines w:val="0"/>
        <w:pageBreakBefore w:val="0"/>
        <w:widowControl w:val="0"/>
        <w:kinsoku/>
        <w:wordWrap/>
        <w:overflowPunct/>
        <w:topLinePunct w:val="0"/>
        <w:autoSpaceDE/>
        <w:autoSpaceDN/>
        <w:bidi w:val="0"/>
        <w:spacing w:line="600" w:lineRule="exact"/>
        <w:ind w:firstLine="640"/>
        <w:textAlignment w:val="auto"/>
        <w:rPr>
          <w:rFonts w:hint="default" w:ascii="Times New Roman" w:hAnsi="Times New Roman" w:eastAsia="仿宋_GB2312" w:cs="Times New Roman"/>
          <w:color w:val="auto"/>
          <w:kern w:val="2"/>
          <w:sz w:val="32"/>
          <w:szCs w:val="32"/>
          <w:highlight w:val="none"/>
          <w:lang w:val="en-US" w:eastAsia="zh-CN" w:bidi="ar-SA"/>
        </w:rPr>
      </w:pPr>
      <w:r>
        <w:rPr>
          <w:rFonts w:hint="default" w:ascii="Times New Roman" w:hAnsi="Times New Roman" w:eastAsia="仿宋_GB2312" w:cs="Times New Roman"/>
          <w:color w:val="auto"/>
          <w:kern w:val="2"/>
          <w:sz w:val="32"/>
          <w:szCs w:val="32"/>
          <w:highlight w:val="none"/>
          <w:lang w:val="en-US" w:eastAsia="zh-CN" w:bidi="ar-SA"/>
        </w:rPr>
        <w:t>其中：公务用车购置支出</w:t>
      </w:r>
      <w:r>
        <w:rPr>
          <w:rFonts w:hint="default" w:ascii="Times New Roman" w:hAnsi="Times New Roman" w:eastAsia="仿宋_GB2312" w:cs="Times New Roman"/>
          <w:sz w:val="32"/>
          <w:szCs w:val="32"/>
        </w:rPr>
        <w:t>0</w:t>
      </w:r>
      <w:r>
        <w:rPr>
          <w:rFonts w:hint="default" w:ascii="Times New Roman" w:hAnsi="Times New Roman" w:eastAsia="仿宋_GB2312" w:cs="Times New Roman"/>
          <w:color w:val="auto"/>
          <w:kern w:val="2"/>
          <w:sz w:val="32"/>
          <w:szCs w:val="32"/>
          <w:highlight w:val="none"/>
          <w:lang w:val="en-US" w:eastAsia="zh-CN" w:bidi="ar-SA"/>
        </w:rPr>
        <w:t>万元。全年按规定更新购置公务用车0辆，其中：轿车0辆、金额0万元，越野车0辆、金额0万元，载客汽车0辆、金额0万元。截至2024年12月31日，单位共有公务用车1辆，其中：轿车1辆、越野车0辆、载客汽车0辆。</w:t>
      </w:r>
    </w:p>
    <w:p w14:paraId="451FAC42">
      <w:pPr>
        <w:keepNext w:val="0"/>
        <w:keepLines w:val="0"/>
        <w:pageBreakBefore w:val="0"/>
        <w:widowControl w:val="0"/>
        <w:kinsoku/>
        <w:wordWrap/>
        <w:overflowPunct/>
        <w:topLinePunct w:val="0"/>
        <w:autoSpaceDE/>
        <w:autoSpaceDN/>
        <w:bidi w:val="0"/>
        <w:spacing w:line="600" w:lineRule="exact"/>
        <w:ind w:firstLine="64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kern w:val="2"/>
          <w:sz w:val="32"/>
          <w:szCs w:val="32"/>
          <w:highlight w:val="none"/>
          <w:lang w:val="en-US" w:eastAsia="zh-CN" w:bidi="ar-SA"/>
        </w:rPr>
        <w:t>公务用车运行维护费支出</w:t>
      </w:r>
      <w:r>
        <w:rPr>
          <w:rFonts w:hint="default" w:ascii="Times New Roman" w:hAnsi="Times New Roman" w:eastAsia="仿宋_GB2312" w:cs="Times New Roman"/>
          <w:sz w:val="32"/>
          <w:szCs w:val="32"/>
        </w:rPr>
        <w:t>1.1</w:t>
      </w:r>
      <w:r>
        <w:rPr>
          <w:rFonts w:hint="default" w:ascii="Times New Roman" w:hAnsi="Times New Roman" w:eastAsia="仿宋_GB2312" w:cs="Times New Roman"/>
          <w:sz w:val="32"/>
          <w:szCs w:val="32"/>
          <w:lang w:val="en-US" w:eastAsia="zh-CN"/>
        </w:rPr>
        <w:t>3</w:t>
      </w:r>
      <w:r>
        <w:rPr>
          <w:rFonts w:hint="default" w:ascii="Times New Roman" w:hAnsi="Times New Roman" w:eastAsia="仿宋_GB2312" w:cs="Times New Roman"/>
          <w:color w:val="auto"/>
          <w:kern w:val="2"/>
          <w:sz w:val="32"/>
          <w:szCs w:val="32"/>
          <w:highlight w:val="none"/>
          <w:lang w:val="en-US" w:eastAsia="zh-CN" w:bidi="ar-SA"/>
        </w:rPr>
        <w:t>万元。</w:t>
      </w:r>
      <w:r>
        <w:rPr>
          <w:rFonts w:hint="default" w:ascii="Times New Roman" w:hAnsi="Times New Roman" w:eastAsia="仿宋_GB2312" w:cs="Times New Roman"/>
          <w:color w:val="auto"/>
          <w:sz w:val="32"/>
          <w:szCs w:val="32"/>
        </w:rPr>
        <w:t>主要用于</w:t>
      </w:r>
      <w:r>
        <w:rPr>
          <w:rFonts w:hint="default" w:ascii="Times New Roman" w:hAnsi="Times New Roman" w:eastAsia="仿宋_GB2312" w:cs="Times New Roman"/>
          <w:color w:val="auto"/>
          <w:sz w:val="32"/>
          <w:szCs w:val="32"/>
          <w:lang w:eastAsia="zh-CN"/>
        </w:rPr>
        <w:t>工伤预防到</w:t>
      </w:r>
      <w:r>
        <w:rPr>
          <w:rFonts w:hint="default" w:ascii="Times New Roman" w:hAnsi="Times New Roman" w:eastAsia="仿宋_GB2312" w:cs="Times New Roman"/>
          <w:color w:val="auto"/>
          <w:sz w:val="32"/>
          <w:szCs w:val="32"/>
        </w:rPr>
        <w:t>厂矿、企业、医疗机构开展调查取证、现场勘验和常规急救等专业技术工作等所需的公务用车燃料费、维修费、过路过桥费、保险费等支出。</w:t>
      </w:r>
    </w:p>
    <w:p w14:paraId="570B942A">
      <w:pPr>
        <w:keepNext w:val="0"/>
        <w:keepLines w:val="0"/>
        <w:pageBreakBefore w:val="0"/>
        <w:widowControl w:val="0"/>
        <w:kinsoku/>
        <w:wordWrap/>
        <w:overflowPunct/>
        <w:topLinePunct w:val="0"/>
        <w:autoSpaceDE/>
        <w:autoSpaceDN/>
        <w:bidi w:val="0"/>
        <w:spacing w:line="600" w:lineRule="exact"/>
        <w:ind w:firstLine="640"/>
        <w:textAlignment w:val="auto"/>
        <w:rPr>
          <w:rFonts w:hint="default" w:ascii="Times New Roman" w:hAnsi="Times New Roman" w:eastAsia="仿宋_GB2312" w:cs="Times New Roman"/>
          <w:color w:val="auto"/>
          <w:kern w:val="2"/>
          <w:sz w:val="32"/>
          <w:szCs w:val="32"/>
          <w:highlight w:val="none"/>
          <w:lang w:val="en-US" w:eastAsia="zh-CN" w:bidi="ar-SA"/>
        </w:rPr>
      </w:pPr>
      <w:r>
        <w:rPr>
          <w:rFonts w:hint="default" w:ascii="Times New Roman" w:hAnsi="Times New Roman" w:eastAsia="仿宋_GB2312" w:cs="Times New Roman"/>
          <w:b/>
          <w:bCs/>
          <w:color w:val="auto"/>
          <w:kern w:val="2"/>
          <w:sz w:val="32"/>
          <w:szCs w:val="32"/>
          <w:highlight w:val="none"/>
          <w:lang w:val="en-US" w:eastAsia="zh-CN" w:bidi="ar-SA"/>
        </w:rPr>
        <w:t>3.公务接待费支出1.11万元，完成预算100%。</w:t>
      </w:r>
      <w:r>
        <w:rPr>
          <w:rFonts w:hint="default" w:ascii="Times New Roman" w:hAnsi="Times New Roman" w:eastAsia="仿宋_GB2312" w:cs="Times New Roman"/>
          <w:color w:val="auto"/>
          <w:kern w:val="2"/>
          <w:sz w:val="32"/>
          <w:szCs w:val="32"/>
          <w:highlight w:val="none"/>
          <w:lang w:val="en-US" w:eastAsia="zh-CN" w:bidi="ar-SA"/>
        </w:rPr>
        <w:t>公务接待费支出决算比2023年度减少0.07万元，下降5.93%。</w:t>
      </w:r>
      <w:r>
        <w:rPr>
          <w:rFonts w:hint="default" w:ascii="Times New Roman" w:hAnsi="Times New Roman" w:eastAsia="仿宋_GB2312" w:cs="Times New Roman"/>
          <w:color w:val="000000"/>
          <w:sz w:val="32"/>
          <w:szCs w:val="32"/>
          <w:highlight w:val="none"/>
        </w:rPr>
        <w:t>主要原因是</w:t>
      </w:r>
      <w:r>
        <w:rPr>
          <w:rFonts w:hint="default" w:ascii="Times New Roman" w:hAnsi="Times New Roman" w:eastAsia="仿宋_GB2312" w:cs="Times New Roman"/>
          <w:color w:val="000000"/>
          <w:sz w:val="32"/>
          <w:szCs w:val="32"/>
          <w:highlight w:val="none"/>
          <w:lang w:eastAsia="zh-CN"/>
        </w:rPr>
        <w:t>接待批次和人数比</w:t>
      </w:r>
      <w:r>
        <w:rPr>
          <w:rFonts w:hint="default" w:ascii="Times New Roman" w:hAnsi="Times New Roman" w:eastAsia="仿宋_GB2312" w:cs="Times New Roman"/>
          <w:color w:val="000000"/>
          <w:sz w:val="32"/>
          <w:szCs w:val="32"/>
          <w:highlight w:val="none"/>
          <w:lang w:val="en-US" w:eastAsia="zh-CN"/>
        </w:rPr>
        <w:t>2023年度减少。</w:t>
      </w:r>
      <w:r>
        <w:rPr>
          <w:rFonts w:hint="default" w:ascii="Times New Roman" w:hAnsi="Times New Roman" w:eastAsia="仿宋_GB2312" w:cs="Times New Roman"/>
          <w:color w:val="auto"/>
          <w:kern w:val="2"/>
          <w:sz w:val="32"/>
          <w:szCs w:val="32"/>
          <w:highlight w:val="none"/>
          <w:lang w:val="en-US" w:eastAsia="zh-CN" w:bidi="ar-SA"/>
        </w:rPr>
        <w:t>其中：</w:t>
      </w:r>
    </w:p>
    <w:p w14:paraId="16A3F78E">
      <w:pPr>
        <w:keepNext w:val="0"/>
        <w:keepLines w:val="0"/>
        <w:pageBreakBefore w:val="0"/>
        <w:widowControl w:val="0"/>
        <w:kinsoku/>
        <w:wordWrap/>
        <w:overflowPunct/>
        <w:topLinePunct w:val="0"/>
        <w:autoSpaceDE/>
        <w:autoSpaceDN/>
        <w:bidi w:val="0"/>
        <w:spacing w:line="600" w:lineRule="exact"/>
        <w:ind w:firstLine="640"/>
        <w:textAlignment w:val="auto"/>
        <w:rPr>
          <w:rFonts w:hint="default" w:ascii="Times New Roman" w:hAnsi="Times New Roman" w:eastAsia="仿宋_GB2312" w:cs="Times New Roman"/>
          <w:color w:val="auto"/>
          <w:kern w:val="2"/>
          <w:sz w:val="32"/>
          <w:szCs w:val="32"/>
          <w:highlight w:val="none"/>
          <w:lang w:val="en-US" w:eastAsia="zh-CN" w:bidi="ar-SA"/>
        </w:rPr>
      </w:pPr>
      <w:r>
        <w:rPr>
          <w:rFonts w:hint="default" w:ascii="Times New Roman" w:hAnsi="Times New Roman" w:eastAsia="仿宋_GB2312" w:cs="Times New Roman"/>
          <w:color w:val="auto"/>
          <w:kern w:val="2"/>
          <w:sz w:val="32"/>
          <w:szCs w:val="32"/>
          <w:highlight w:val="none"/>
          <w:lang w:val="en-US" w:eastAsia="zh-CN" w:bidi="ar-SA"/>
        </w:rPr>
        <w:t>国内公务接待支出</w:t>
      </w:r>
      <w:r>
        <w:rPr>
          <w:rFonts w:hint="default" w:ascii="Times New Roman" w:hAnsi="Times New Roman" w:eastAsia="仿宋_GB2312" w:cs="Times New Roman"/>
          <w:sz w:val="32"/>
          <w:szCs w:val="32"/>
        </w:rPr>
        <w:t>1.11</w:t>
      </w:r>
      <w:r>
        <w:rPr>
          <w:rFonts w:hint="default" w:ascii="Times New Roman" w:hAnsi="Times New Roman" w:eastAsia="仿宋_GB2312" w:cs="Times New Roman"/>
          <w:color w:val="auto"/>
          <w:kern w:val="2"/>
          <w:sz w:val="32"/>
          <w:szCs w:val="32"/>
          <w:highlight w:val="none"/>
          <w:lang w:val="en-US" w:eastAsia="zh-CN" w:bidi="ar-SA"/>
        </w:rPr>
        <w:t>万元，</w:t>
      </w:r>
      <w:r>
        <w:rPr>
          <w:rFonts w:hint="default" w:ascii="Times New Roman" w:hAnsi="Times New Roman" w:eastAsia="仿宋_GB2312" w:cs="Times New Roman"/>
          <w:color w:val="000000"/>
          <w:sz w:val="32"/>
          <w:szCs w:val="32"/>
        </w:rPr>
        <w:t>接待</w:t>
      </w:r>
      <w:r>
        <w:rPr>
          <w:rFonts w:hint="default" w:ascii="Times New Roman" w:hAnsi="Times New Roman" w:eastAsia="仿宋_GB2312" w:cs="Times New Roman"/>
          <w:color w:val="000000"/>
          <w:sz w:val="32"/>
          <w:szCs w:val="32"/>
          <w:lang w:val="en-US" w:eastAsia="zh-CN"/>
        </w:rPr>
        <w:t>人力资源社会保障</w:t>
      </w:r>
      <w:r>
        <w:rPr>
          <w:rFonts w:hint="default" w:ascii="Times New Roman" w:hAnsi="Times New Roman" w:eastAsia="仿宋_GB2312" w:cs="Times New Roman"/>
          <w:color w:val="000000"/>
          <w:sz w:val="32"/>
          <w:szCs w:val="32"/>
        </w:rPr>
        <w:t>厅、省</w:t>
      </w:r>
      <w:r>
        <w:rPr>
          <w:rFonts w:hint="default" w:ascii="Times New Roman" w:hAnsi="Times New Roman" w:eastAsia="仿宋_GB2312" w:cs="Times New Roman"/>
          <w:color w:val="000000"/>
          <w:sz w:val="32"/>
          <w:szCs w:val="32"/>
          <w:lang w:val="en-US" w:eastAsia="zh-CN"/>
        </w:rPr>
        <w:t>社会保险管理</w:t>
      </w:r>
      <w:r>
        <w:rPr>
          <w:rFonts w:hint="default" w:ascii="Times New Roman" w:hAnsi="Times New Roman" w:eastAsia="仿宋_GB2312" w:cs="Times New Roman"/>
          <w:color w:val="000000"/>
          <w:sz w:val="32"/>
          <w:szCs w:val="32"/>
        </w:rPr>
        <w:t>局领导</w:t>
      </w:r>
      <w:r>
        <w:rPr>
          <w:rFonts w:hint="default" w:ascii="Times New Roman" w:hAnsi="Times New Roman" w:eastAsia="仿宋_GB2312" w:cs="Times New Roman"/>
          <w:color w:val="000000"/>
          <w:sz w:val="32"/>
          <w:szCs w:val="32"/>
          <w:lang w:eastAsia="zh-CN"/>
        </w:rPr>
        <w:t>和</w:t>
      </w:r>
      <w:r>
        <w:rPr>
          <w:rFonts w:hint="default" w:ascii="Times New Roman" w:hAnsi="Times New Roman" w:eastAsia="仿宋_GB2312" w:cs="Times New Roman"/>
          <w:color w:val="000000"/>
          <w:sz w:val="32"/>
          <w:szCs w:val="32"/>
        </w:rPr>
        <w:t>其他地市州单位</w:t>
      </w:r>
      <w:r>
        <w:rPr>
          <w:rFonts w:hint="default" w:ascii="Times New Roman" w:hAnsi="Times New Roman" w:eastAsia="仿宋_GB2312" w:cs="Times New Roman"/>
          <w:color w:val="000000"/>
          <w:sz w:val="32"/>
          <w:szCs w:val="32"/>
          <w:lang w:eastAsia="zh-CN"/>
        </w:rPr>
        <w:t>检查、</w:t>
      </w:r>
      <w:r>
        <w:rPr>
          <w:rFonts w:hint="default" w:ascii="Times New Roman" w:hAnsi="Times New Roman" w:eastAsia="仿宋_GB2312" w:cs="Times New Roman"/>
          <w:color w:val="000000"/>
          <w:sz w:val="32"/>
          <w:szCs w:val="32"/>
        </w:rPr>
        <w:t>调研用餐费。</w:t>
      </w:r>
      <w:r>
        <w:rPr>
          <w:rFonts w:hint="default" w:ascii="Times New Roman" w:hAnsi="Times New Roman" w:eastAsia="仿宋_GB2312" w:cs="Times New Roman"/>
          <w:color w:val="auto"/>
          <w:kern w:val="2"/>
          <w:sz w:val="32"/>
          <w:szCs w:val="32"/>
          <w:highlight w:val="none"/>
          <w:lang w:val="en-US" w:eastAsia="zh-CN" w:bidi="ar-SA"/>
        </w:rPr>
        <w:t>国内公务接待</w:t>
      </w:r>
      <w:r>
        <w:rPr>
          <w:rFonts w:hint="default" w:ascii="Times New Roman" w:hAnsi="Times New Roman" w:eastAsia="仿宋_GB2312" w:cs="Times New Roman"/>
          <w:sz w:val="32"/>
          <w:szCs w:val="32"/>
        </w:rPr>
        <w:t>6</w:t>
      </w:r>
      <w:r>
        <w:rPr>
          <w:rFonts w:hint="default" w:ascii="Times New Roman" w:hAnsi="Times New Roman" w:eastAsia="仿宋_GB2312" w:cs="Times New Roman"/>
          <w:color w:val="auto"/>
          <w:kern w:val="2"/>
          <w:sz w:val="32"/>
          <w:szCs w:val="32"/>
          <w:highlight w:val="none"/>
          <w:lang w:val="en-US" w:eastAsia="zh-CN" w:bidi="ar-SA"/>
        </w:rPr>
        <w:t>批次，</w:t>
      </w:r>
      <w:r>
        <w:rPr>
          <w:rFonts w:hint="default" w:ascii="Times New Roman" w:hAnsi="Times New Roman" w:eastAsia="仿宋_GB2312" w:cs="Times New Roman"/>
          <w:sz w:val="32"/>
          <w:szCs w:val="32"/>
        </w:rPr>
        <w:t>47</w:t>
      </w:r>
      <w:r>
        <w:rPr>
          <w:rFonts w:hint="default" w:ascii="Times New Roman" w:hAnsi="Times New Roman" w:eastAsia="仿宋_GB2312" w:cs="Times New Roman"/>
          <w:color w:val="auto"/>
          <w:kern w:val="2"/>
          <w:sz w:val="32"/>
          <w:szCs w:val="32"/>
          <w:highlight w:val="none"/>
          <w:lang w:val="en-US" w:eastAsia="zh-CN" w:bidi="ar-SA"/>
        </w:rPr>
        <w:t>人次（不包括陪同人员），共计支出1.11万元，具体内容包括：</w:t>
      </w:r>
    </w:p>
    <w:p w14:paraId="08370F5D">
      <w:pPr>
        <w:keepNext w:val="0"/>
        <w:keepLines w:val="0"/>
        <w:pageBreakBefore w:val="0"/>
        <w:widowControl w:val="0"/>
        <w:tabs>
          <w:tab w:val="left" w:pos="2031"/>
        </w:tabs>
        <w:kinsoku/>
        <w:wordWrap/>
        <w:overflowPunct/>
        <w:topLinePunct w:val="0"/>
        <w:autoSpaceDE/>
        <w:autoSpaceDN/>
        <w:bidi w:val="0"/>
        <w:spacing w:line="600" w:lineRule="exact"/>
        <w:ind w:firstLine="64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（1）接待</w:t>
      </w:r>
      <w:r>
        <w:rPr>
          <w:rFonts w:hint="eastAsia" w:ascii="Times New Roman" w:hAnsi="Times New Roman" w:eastAsia="仿宋_GB2312" w:cs="Times New Roman"/>
          <w:color w:val="000000"/>
          <w:sz w:val="32"/>
          <w:szCs w:val="32"/>
          <w:lang w:val="en-US" w:eastAsia="zh-CN"/>
        </w:rPr>
        <w:t>人力资源社会保障</w:t>
      </w:r>
      <w:r>
        <w:rPr>
          <w:rFonts w:hint="default" w:ascii="Times New Roman" w:hAnsi="Times New Roman" w:eastAsia="仿宋_GB2312" w:cs="Times New Roman"/>
          <w:color w:val="000000"/>
          <w:sz w:val="32"/>
          <w:szCs w:val="32"/>
          <w:lang w:eastAsia="zh-CN"/>
        </w:rPr>
        <w:t>厅</w:t>
      </w:r>
      <w:r>
        <w:rPr>
          <w:rFonts w:hint="default" w:ascii="Times New Roman" w:hAnsi="Times New Roman" w:eastAsia="仿宋_GB2312" w:cs="Times New Roman"/>
          <w:color w:val="000000"/>
          <w:sz w:val="32"/>
          <w:szCs w:val="32"/>
          <w:lang w:val="en-US" w:eastAsia="zh-CN"/>
        </w:rPr>
        <w:t>9</w:t>
      </w:r>
      <w:r>
        <w:rPr>
          <w:rFonts w:hint="default" w:ascii="Times New Roman" w:hAnsi="Times New Roman" w:eastAsia="仿宋_GB2312" w:cs="Times New Roman"/>
          <w:color w:val="000000"/>
          <w:sz w:val="32"/>
          <w:szCs w:val="32"/>
        </w:rPr>
        <w:t>名同志到我中心</w:t>
      </w:r>
      <w:r>
        <w:rPr>
          <w:rFonts w:hint="default" w:ascii="Times New Roman" w:hAnsi="Times New Roman" w:eastAsia="仿宋_GB2312" w:cs="Times New Roman"/>
          <w:color w:val="000000"/>
          <w:sz w:val="32"/>
          <w:szCs w:val="32"/>
          <w:lang w:eastAsia="zh-CN"/>
        </w:rPr>
        <w:t>调研工伤疑点数据核查工作</w:t>
      </w:r>
      <w:r>
        <w:rPr>
          <w:rFonts w:hint="default" w:ascii="Times New Roman" w:hAnsi="Times New Roman" w:eastAsia="仿宋_GB2312" w:cs="Times New Roman"/>
          <w:color w:val="000000"/>
          <w:sz w:val="32"/>
          <w:szCs w:val="32"/>
        </w:rPr>
        <w:t>，公务接待支出</w:t>
      </w:r>
      <w:r>
        <w:rPr>
          <w:rFonts w:hint="default" w:ascii="Times New Roman" w:hAnsi="Times New Roman" w:eastAsia="仿宋_GB2312" w:cs="Times New Roman"/>
          <w:color w:val="000000"/>
          <w:sz w:val="32"/>
          <w:szCs w:val="32"/>
          <w:lang w:val="en-US" w:eastAsia="zh-CN"/>
        </w:rPr>
        <w:t>1924</w:t>
      </w:r>
      <w:r>
        <w:rPr>
          <w:rFonts w:hint="default" w:ascii="Times New Roman" w:hAnsi="Times New Roman" w:eastAsia="仿宋_GB2312" w:cs="Times New Roman"/>
          <w:color w:val="000000"/>
          <w:sz w:val="32"/>
          <w:szCs w:val="32"/>
        </w:rPr>
        <w:t>元。</w:t>
      </w:r>
    </w:p>
    <w:p w14:paraId="4BF640DB">
      <w:pPr>
        <w:keepNext w:val="0"/>
        <w:keepLines w:val="0"/>
        <w:pageBreakBefore w:val="0"/>
        <w:widowControl w:val="0"/>
        <w:tabs>
          <w:tab w:val="left" w:pos="2031"/>
        </w:tabs>
        <w:kinsoku/>
        <w:wordWrap/>
        <w:overflowPunct/>
        <w:topLinePunct w:val="0"/>
        <w:autoSpaceDE/>
        <w:autoSpaceDN/>
        <w:bidi w:val="0"/>
        <w:spacing w:line="600" w:lineRule="exact"/>
        <w:ind w:firstLine="64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（2）接待</w:t>
      </w:r>
      <w:r>
        <w:rPr>
          <w:rFonts w:hint="eastAsia" w:ascii="Times New Roman" w:hAnsi="Times New Roman" w:eastAsia="仿宋_GB2312" w:cs="Times New Roman"/>
          <w:color w:val="000000"/>
          <w:sz w:val="32"/>
          <w:szCs w:val="32"/>
          <w:lang w:val="en-US" w:eastAsia="zh-CN"/>
        </w:rPr>
        <w:t>人力资源社会保障</w:t>
      </w:r>
      <w:r>
        <w:rPr>
          <w:rFonts w:hint="default" w:ascii="Times New Roman" w:hAnsi="Times New Roman" w:eastAsia="仿宋_GB2312" w:cs="Times New Roman"/>
          <w:color w:val="000000"/>
          <w:sz w:val="32"/>
          <w:szCs w:val="32"/>
          <w:lang w:eastAsia="zh-CN"/>
        </w:rPr>
        <w:t>厅</w:t>
      </w:r>
      <w:r>
        <w:rPr>
          <w:rFonts w:hint="default" w:ascii="Times New Roman" w:hAnsi="Times New Roman" w:eastAsia="仿宋_GB2312" w:cs="Times New Roman"/>
          <w:color w:val="000000"/>
          <w:sz w:val="32"/>
          <w:szCs w:val="32"/>
          <w:lang w:val="en-US" w:eastAsia="zh-CN"/>
        </w:rPr>
        <w:t>9</w:t>
      </w:r>
      <w:r>
        <w:rPr>
          <w:rFonts w:hint="default" w:ascii="Times New Roman" w:hAnsi="Times New Roman" w:eastAsia="仿宋_GB2312" w:cs="Times New Roman"/>
          <w:color w:val="000000"/>
          <w:sz w:val="32"/>
          <w:szCs w:val="32"/>
        </w:rPr>
        <w:t>名同志到我中心</w:t>
      </w:r>
      <w:r>
        <w:rPr>
          <w:rFonts w:hint="default" w:ascii="Times New Roman" w:hAnsi="Times New Roman" w:eastAsia="仿宋_GB2312" w:cs="Times New Roman"/>
          <w:color w:val="000000"/>
          <w:sz w:val="32"/>
          <w:szCs w:val="32"/>
          <w:lang w:eastAsia="zh-CN"/>
        </w:rPr>
        <w:t>调研工伤保险相关</w:t>
      </w:r>
      <w:r>
        <w:rPr>
          <w:rFonts w:hint="default" w:ascii="Times New Roman" w:hAnsi="Times New Roman" w:eastAsia="仿宋_GB2312" w:cs="Times New Roman"/>
          <w:color w:val="000000"/>
          <w:sz w:val="32"/>
          <w:szCs w:val="32"/>
        </w:rPr>
        <w:t>工作，公务接待支出</w:t>
      </w:r>
      <w:r>
        <w:rPr>
          <w:rFonts w:hint="default" w:ascii="Times New Roman" w:hAnsi="Times New Roman" w:eastAsia="仿宋_GB2312" w:cs="Times New Roman"/>
          <w:color w:val="000000"/>
          <w:sz w:val="32"/>
          <w:szCs w:val="32"/>
          <w:lang w:val="en-US" w:eastAsia="zh-CN"/>
        </w:rPr>
        <w:t>2095</w:t>
      </w:r>
      <w:r>
        <w:rPr>
          <w:rFonts w:hint="default" w:ascii="Times New Roman" w:hAnsi="Times New Roman" w:eastAsia="仿宋_GB2312" w:cs="Times New Roman"/>
          <w:color w:val="000000"/>
          <w:sz w:val="32"/>
          <w:szCs w:val="32"/>
        </w:rPr>
        <w:t>元。</w:t>
      </w:r>
    </w:p>
    <w:p w14:paraId="384A189C">
      <w:pPr>
        <w:keepNext w:val="0"/>
        <w:keepLines w:val="0"/>
        <w:pageBreakBefore w:val="0"/>
        <w:widowControl w:val="0"/>
        <w:tabs>
          <w:tab w:val="left" w:pos="2031"/>
        </w:tabs>
        <w:kinsoku/>
        <w:wordWrap/>
        <w:overflowPunct/>
        <w:topLinePunct w:val="0"/>
        <w:autoSpaceDE/>
        <w:autoSpaceDN/>
        <w:bidi w:val="0"/>
        <w:spacing w:line="600" w:lineRule="exact"/>
        <w:ind w:firstLine="64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（3）接待</w:t>
      </w:r>
      <w:r>
        <w:rPr>
          <w:rFonts w:hint="default" w:ascii="Times New Roman" w:hAnsi="Times New Roman" w:eastAsia="仿宋_GB2312" w:cs="Times New Roman"/>
          <w:color w:val="000000"/>
          <w:sz w:val="32"/>
          <w:szCs w:val="32"/>
          <w:lang w:eastAsia="zh-CN"/>
        </w:rPr>
        <w:t>省</w:t>
      </w:r>
      <w:r>
        <w:rPr>
          <w:rFonts w:hint="eastAsia" w:ascii="Times New Roman" w:hAnsi="Times New Roman" w:eastAsia="仿宋_GB2312" w:cs="Times New Roman"/>
          <w:color w:val="000000"/>
          <w:sz w:val="32"/>
          <w:szCs w:val="32"/>
          <w:lang w:val="en-US" w:eastAsia="zh-CN"/>
        </w:rPr>
        <w:t>社会保险管理</w:t>
      </w:r>
      <w:r>
        <w:rPr>
          <w:rFonts w:hint="default" w:ascii="Times New Roman" w:hAnsi="Times New Roman" w:eastAsia="仿宋_GB2312" w:cs="Times New Roman"/>
          <w:color w:val="000000"/>
          <w:sz w:val="32"/>
          <w:szCs w:val="32"/>
          <w:lang w:eastAsia="zh-CN"/>
        </w:rPr>
        <w:t>局</w:t>
      </w:r>
      <w:r>
        <w:rPr>
          <w:rFonts w:hint="default" w:ascii="Times New Roman" w:hAnsi="Times New Roman" w:eastAsia="仿宋_GB2312" w:cs="Times New Roman"/>
          <w:color w:val="000000"/>
          <w:sz w:val="32"/>
          <w:szCs w:val="32"/>
          <w:lang w:val="en-US" w:eastAsia="zh-CN"/>
        </w:rPr>
        <w:t>6</w:t>
      </w:r>
      <w:r>
        <w:rPr>
          <w:rFonts w:hint="default" w:ascii="Times New Roman" w:hAnsi="Times New Roman" w:eastAsia="仿宋_GB2312" w:cs="Times New Roman"/>
          <w:color w:val="000000"/>
          <w:sz w:val="32"/>
          <w:szCs w:val="32"/>
        </w:rPr>
        <w:t>名同志到我中心</w:t>
      </w:r>
      <w:r>
        <w:rPr>
          <w:rFonts w:hint="default" w:ascii="Times New Roman" w:hAnsi="Times New Roman" w:eastAsia="仿宋_GB2312" w:cs="Times New Roman"/>
          <w:color w:val="000000"/>
          <w:sz w:val="32"/>
          <w:szCs w:val="32"/>
          <w:lang w:eastAsia="zh-CN"/>
        </w:rPr>
        <w:t>调研社保经办工作</w:t>
      </w:r>
      <w:r>
        <w:rPr>
          <w:rFonts w:hint="default" w:ascii="Times New Roman" w:hAnsi="Times New Roman" w:eastAsia="仿宋_GB2312" w:cs="Times New Roman"/>
          <w:color w:val="000000"/>
          <w:sz w:val="32"/>
          <w:szCs w:val="32"/>
        </w:rPr>
        <w:t>，公务接待支出</w:t>
      </w:r>
      <w:r>
        <w:rPr>
          <w:rFonts w:hint="default" w:ascii="Times New Roman" w:hAnsi="Times New Roman" w:eastAsia="仿宋_GB2312" w:cs="Times New Roman"/>
          <w:color w:val="000000"/>
          <w:sz w:val="32"/>
          <w:szCs w:val="32"/>
          <w:lang w:val="en-US" w:eastAsia="zh-CN"/>
        </w:rPr>
        <w:t>1600</w:t>
      </w:r>
      <w:r>
        <w:rPr>
          <w:rFonts w:hint="default" w:ascii="Times New Roman" w:hAnsi="Times New Roman" w:eastAsia="仿宋_GB2312" w:cs="Times New Roman"/>
          <w:color w:val="000000"/>
          <w:sz w:val="32"/>
          <w:szCs w:val="32"/>
        </w:rPr>
        <w:t>元。</w:t>
      </w:r>
    </w:p>
    <w:p w14:paraId="4F2634B4">
      <w:pPr>
        <w:keepNext w:val="0"/>
        <w:keepLines w:val="0"/>
        <w:pageBreakBefore w:val="0"/>
        <w:widowControl w:val="0"/>
        <w:tabs>
          <w:tab w:val="left" w:pos="2031"/>
        </w:tabs>
        <w:kinsoku/>
        <w:wordWrap/>
        <w:overflowPunct/>
        <w:topLinePunct w:val="0"/>
        <w:autoSpaceDE/>
        <w:autoSpaceDN/>
        <w:bidi w:val="0"/>
        <w:spacing w:line="600" w:lineRule="exact"/>
        <w:ind w:firstLine="64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w:t>
      </w:r>
      <w:r>
        <w:rPr>
          <w:rFonts w:hint="default" w:ascii="Times New Roman" w:hAnsi="Times New Roman" w:eastAsia="仿宋_GB2312" w:cs="Times New Roman"/>
          <w:color w:val="000000"/>
          <w:sz w:val="32"/>
          <w:szCs w:val="32"/>
          <w:lang w:val="en-US" w:eastAsia="zh-CN"/>
        </w:rPr>
        <w:t>4</w:t>
      </w:r>
      <w:r>
        <w:rPr>
          <w:rFonts w:hint="default" w:ascii="Times New Roman" w:hAnsi="Times New Roman" w:eastAsia="仿宋_GB2312" w:cs="Times New Roman"/>
          <w:color w:val="000000"/>
          <w:sz w:val="32"/>
          <w:szCs w:val="32"/>
        </w:rPr>
        <w:t>）接待</w:t>
      </w:r>
      <w:r>
        <w:rPr>
          <w:rFonts w:hint="default" w:ascii="Times New Roman" w:hAnsi="Times New Roman" w:eastAsia="仿宋_GB2312" w:cs="Times New Roman"/>
          <w:color w:val="000000"/>
          <w:sz w:val="32"/>
          <w:szCs w:val="32"/>
          <w:lang w:eastAsia="zh-CN"/>
        </w:rPr>
        <w:t>省</w:t>
      </w:r>
      <w:r>
        <w:rPr>
          <w:rFonts w:hint="eastAsia" w:ascii="Times New Roman" w:hAnsi="Times New Roman" w:eastAsia="仿宋_GB2312" w:cs="Times New Roman"/>
          <w:color w:val="000000"/>
          <w:sz w:val="32"/>
          <w:szCs w:val="32"/>
          <w:lang w:val="en-US" w:eastAsia="zh-CN"/>
        </w:rPr>
        <w:t>社会保险管理</w:t>
      </w:r>
      <w:r>
        <w:rPr>
          <w:rFonts w:hint="default" w:ascii="Times New Roman" w:hAnsi="Times New Roman" w:eastAsia="仿宋_GB2312" w:cs="Times New Roman"/>
          <w:color w:val="000000"/>
          <w:sz w:val="32"/>
          <w:szCs w:val="32"/>
          <w:lang w:eastAsia="zh-CN"/>
        </w:rPr>
        <w:t>局</w:t>
      </w:r>
      <w:r>
        <w:rPr>
          <w:rFonts w:hint="default" w:ascii="Times New Roman" w:hAnsi="Times New Roman" w:eastAsia="仿宋_GB2312" w:cs="Times New Roman"/>
          <w:color w:val="000000"/>
          <w:sz w:val="32"/>
          <w:szCs w:val="32"/>
          <w:lang w:val="en-US" w:eastAsia="zh-CN"/>
        </w:rPr>
        <w:t>8</w:t>
      </w:r>
      <w:r>
        <w:rPr>
          <w:rFonts w:hint="default" w:ascii="Times New Roman" w:hAnsi="Times New Roman" w:eastAsia="仿宋_GB2312" w:cs="Times New Roman"/>
          <w:color w:val="000000"/>
          <w:sz w:val="32"/>
          <w:szCs w:val="32"/>
        </w:rPr>
        <w:t>名同志到我中心</w:t>
      </w:r>
      <w:r>
        <w:rPr>
          <w:rFonts w:hint="default" w:ascii="Times New Roman" w:hAnsi="Times New Roman" w:eastAsia="仿宋_GB2312" w:cs="Times New Roman"/>
          <w:color w:val="000000"/>
          <w:sz w:val="32"/>
          <w:szCs w:val="32"/>
          <w:lang w:eastAsia="zh-CN"/>
        </w:rPr>
        <w:t>开展提前退休审批复核工作</w:t>
      </w:r>
      <w:r>
        <w:rPr>
          <w:rFonts w:hint="default" w:ascii="Times New Roman" w:hAnsi="Times New Roman" w:eastAsia="仿宋_GB2312" w:cs="Times New Roman"/>
          <w:color w:val="000000"/>
          <w:sz w:val="32"/>
          <w:szCs w:val="32"/>
        </w:rPr>
        <w:t>，公务接待支出</w:t>
      </w:r>
      <w:r>
        <w:rPr>
          <w:rFonts w:hint="default" w:ascii="Times New Roman" w:hAnsi="Times New Roman" w:eastAsia="仿宋_GB2312" w:cs="Times New Roman"/>
          <w:color w:val="000000"/>
          <w:sz w:val="32"/>
          <w:szCs w:val="32"/>
          <w:lang w:val="en-US" w:eastAsia="zh-CN"/>
        </w:rPr>
        <w:t>1950</w:t>
      </w:r>
      <w:r>
        <w:rPr>
          <w:rFonts w:hint="default" w:ascii="Times New Roman" w:hAnsi="Times New Roman" w:eastAsia="仿宋_GB2312" w:cs="Times New Roman"/>
          <w:color w:val="000000"/>
          <w:sz w:val="32"/>
          <w:szCs w:val="32"/>
        </w:rPr>
        <w:t>元。</w:t>
      </w:r>
    </w:p>
    <w:p w14:paraId="07462BDB">
      <w:pPr>
        <w:keepNext w:val="0"/>
        <w:keepLines w:val="0"/>
        <w:pageBreakBefore w:val="0"/>
        <w:widowControl w:val="0"/>
        <w:tabs>
          <w:tab w:val="left" w:pos="2031"/>
        </w:tabs>
        <w:kinsoku/>
        <w:wordWrap/>
        <w:overflowPunct/>
        <w:topLinePunct w:val="0"/>
        <w:autoSpaceDE/>
        <w:autoSpaceDN/>
        <w:bidi w:val="0"/>
        <w:spacing w:line="600" w:lineRule="exact"/>
        <w:ind w:firstLine="64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lang w:eastAsia="zh-CN"/>
        </w:rPr>
        <w:t>（</w:t>
      </w:r>
      <w:r>
        <w:rPr>
          <w:rFonts w:hint="default" w:ascii="Times New Roman" w:hAnsi="Times New Roman" w:eastAsia="仿宋_GB2312" w:cs="Times New Roman"/>
          <w:color w:val="000000"/>
          <w:sz w:val="32"/>
          <w:szCs w:val="32"/>
          <w:lang w:val="en-US" w:eastAsia="zh-CN"/>
        </w:rPr>
        <w:t>5</w:t>
      </w:r>
      <w:r>
        <w:rPr>
          <w:rFonts w:hint="default" w:ascii="Times New Roman" w:hAnsi="Times New Roman" w:eastAsia="仿宋_GB2312" w:cs="Times New Roman"/>
          <w:color w:val="000000"/>
          <w:sz w:val="32"/>
          <w:szCs w:val="32"/>
          <w:lang w:eastAsia="zh-CN"/>
        </w:rPr>
        <w:t>）</w:t>
      </w:r>
      <w:r>
        <w:rPr>
          <w:rFonts w:hint="default" w:ascii="Times New Roman" w:hAnsi="Times New Roman" w:eastAsia="仿宋_GB2312" w:cs="Times New Roman"/>
          <w:color w:val="000000"/>
          <w:sz w:val="32"/>
          <w:szCs w:val="32"/>
        </w:rPr>
        <w:t>接待</w:t>
      </w:r>
      <w:r>
        <w:rPr>
          <w:rFonts w:hint="default" w:ascii="Times New Roman" w:hAnsi="Times New Roman" w:eastAsia="仿宋_GB2312" w:cs="Times New Roman"/>
          <w:color w:val="000000"/>
          <w:sz w:val="32"/>
          <w:szCs w:val="32"/>
          <w:lang w:eastAsia="zh-CN"/>
        </w:rPr>
        <w:t>黄石市</w:t>
      </w:r>
      <w:r>
        <w:rPr>
          <w:rFonts w:hint="eastAsia" w:ascii="Times New Roman" w:hAnsi="Times New Roman" w:eastAsia="仿宋_GB2312" w:cs="Times New Roman"/>
          <w:color w:val="000000"/>
          <w:sz w:val="32"/>
          <w:szCs w:val="32"/>
          <w:lang w:val="en-US" w:eastAsia="zh-CN"/>
        </w:rPr>
        <w:t>人力资源社会保障</w:t>
      </w:r>
      <w:r>
        <w:rPr>
          <w:rFonts w:hint="default" w:ascii="Times New Roman" w:hAnsi="Times New Roman" w:eastAsia="仿宋_GB2312" w:cs="Times New Roman"/>
          <w:color w:val="000000"/>
          <w:sz w:val="32"/>
          <w:szCs w:val="32"/>
          <w:lang w:eastAsia="zh-CN"/>
        </w:rPr>
        <w:t>局</w:t>
      </w:r>
      <w:r>
        <w:rPr>
          <w:rFonts w:hint="default" w:ascii="Times New Roman" w:hAnsi="Times New Roman" w:eastAsia="仿宋_GB2312" w:cs="Times New Roman"/>
          <w:color w:val="000000"/>
          <w:sz w:val="32"/>
          <w:szCs w:val="32"/>
          <w:lang w:val="en-US" w:eastAsia="zh-CN"/>
        </w:rPr>
        <w:t>7</w:t>
      </w:r>
      <w:r>
        <w:rPr>
          <w:rFonts w:hint="default" w:ascii="Times New Roman" w:hAnsi="Times New Roman" w:eastAsia="仿宋_GB2312" w:cs="Times New Roman"/>
          <w:color w:val="000000"/>
          <w:sz w:val="32"/>
          <w:szCs w:val="32"/>
        </w:rPr>
        <w:t>名同志到我中心</w:t>
      </w:r>
      <w:r>
        <w:rPr>
          <w:rFonts w:hint="default" w:ascii="Times New Roman" w:hAnsi="Times New Roman" w:eastAsia="仿宋_GB2312" w:cs="Times New Roman"/>
          <w:color w:val="000000"/>
          <w:sz w:val="32"/>
          <w:szCs w:val="32"/>
          <w:lang w:eastAsia="zh-CN"/>
        </w:rPr>
        <w:t>调研超龄人员参加工伤保险工作</w:t>
      </w:r>
      <w:r>
        <w:rPr>
          <w:rFonts w:hint="default" w:ascii="Times New Roman" w:hAnsi="Times New Roman" w:eastAsia="仿宋_GB2312" w:cs="Times New Roman"/>
          <w:color w:val="000000"/>
          <w:sz w:val="32"/>
          <w:szCs w:val="32"/>
        </w:rPr>
        <w:t>，公务接待支出</w:t>
      </w:r>
      <w:r>
        <w:rPr>
          <w:rFonts w:hint="default" w:ascii="Times New Roman" w:hAnsi="Times New Roman" w:eastAsia="仿宋_GB2312" w:cs="Times New Roman"/>
          <w:color w:val="000000"/>
          <w:sz w:val="32"/>
          <w:szCs w:val="32"/>
          <w:lang w:val="en-US" w:eastAsia="zh-CN"/>
        </w:rPr>
        <w:t>1645</w:t>
      </w:r>
      <w:r>
        <w:rPr>
          <w:rFonts w:hint="default" w:ascii="Times New Roman" w:hAnsi="Times New Roman" w:eastAsia="仿宋_GB2312" w:cs="Times New Roman"/>
          <w:color w:val="000000"/>
          <w:sz w:val="32"/>
          <w:szCs w:val="32"/>
        </w:rPr>
        <w:t>元。</w:t>
      </w:r>
    </w:p>
    <w:p w14:paraId="0C2A4BD9">
      <w:pPr>
        <w:keepNext w:val="0"/>
        <w:keepLines w:val="0"/>
        <w:pageBreakBefore w:val="0"/>
        <w:widowControl w:val="0"/>
        <w:kinsoku/>
        <w:wordWrap/>
        <w:overflowPunct/>
        <w:topLinePunct w:val="0"/>
        <w:autoSpaceDE/>
        <w:autoSpaceDN/>
        <w:bidi w:val="0"/>
        <w:spacing w:line="600" w:lineRule="exact"/>
        <w:ind w:firstLine="640"/>
        <w:textAlignment w:val="auto"/>
        <w:rPr>
          <w:rFonts w:hint="default" w:ascii="Times New Roman" w:hAnsi="Times New Roman" w:eastAsia="仿宋_GB2312" w:cs="Times New Roman"/>
          <w:color w:val="auto"/>
          <w:kern w:val="2"/>
          <w:sz w:val="32"/>
          <w:szCs w:val="32"/>
          <w:highlight w:val="none"/>
          <w:lang w:val="en-US" w:eastAsia="zh-CN" w:bidi="ar-SA"/>
        </w:rPr>
      </w:pPr>
      <w:r>
        <w:rPr>
          <w:rFonts w:hint="default" w:ascii="Times New Roman" w:hAnsi="Times New Roman" w:eastAsia="仿宋_GB2312" w:cs="Times New Roman"/>
          <w:color w:val="000000"/>
          <w:sz w:val="32"/>
          <w:szCs w:val="32"/>
          <w:lang w:eastAsia="zh-CN"/>
        </w:rPr>
        <w:t>（</w:t>
      </w:r>
      <w:r>
        <w:rPr>
          <w:rFonts w:hint="default" w:ascii="Times New Roman" w:hAnsi="Times New Roman" w:eastAsia="仿宋_GB2312" w:cs="Times New Roman"/>
          <w:color w:val="000000"/>
          <w:sz w:val="32"/>
          <w:szCs w:val="32"/>
          <w:lang w:val="en-US" w:eastAsia="zh-CN"/>
        </w:rPr>
        <w:t>6</w:t>
      </w:r>
      <w:r>
        <w:rPr>
          <w:rFonts w:hint="default" w:ascii="Times New Roman" w:hAnsi="Times New Roman" w:eastAsia="仿宋_GB2312" w:cs="Times New Roman"/>
          <w:color w:val="000000"/>
          <w:sz w:val="32"/>
          <w:szCs w:val="32"/>
          <w:lang w:eastAsia="zh-CN"/>
        </w:rPr>
        <w:t>）</w:t>
      </w:r>
      <w:r>
        <w:rPr>
          <w:rFonts w:hint="default" w:ascii="Times New Roman" w:hAnsi="Times New Roman" w:eastAsia="仿宋_GB2312" w:cs="Times New Roman"/>
          <w:color w:val="000000"/>
          <w:sz w:val="32"/>
          <w:szCs w:val="32"/>
        </w:rPr>
        <w:t>接待</w:t>
      </w:r>
      <w:r>
        <w:rPr>
          <w:rFonts w:hint="default" w:ascii="Times New Roman" w:hAnsi="Times New Roman" w:eastAsia="仿宋_GB2312" w:cs="Times New Roman"/>
          <w:color w:val="000000"/>
          <w:sz w:val="32"/>
          <w:szCs w:val="32"/>
          <w:lang w:eastAsia="zh-CN"/>
        </w:rPr>
        <w:t>省</w:t>
      </w:r>
      <w:r>
        <w:rPr>
          <w:rFonts w:hint="eastAsia" w:ascii="Times New Roman" w:hAnsi="Times New Roman" w:eastAsia="仿宋_GB2312" w:cs="Times New Roman"/>
          <w:color w:val="000000"/>
          <w:sz w:val="32"/>
          <w:szCs w:val="32"/>
          <w:lang w:val="en-US" w:eastAsia="zh-CN"/>
        </w:rPr>
        <w:t>社会保险管理</w:t>
      </w:r>
      <w:r>
        <w:rPr>
          <w:rFonts w:hint="default" w:ascii="Times New Roman" w:hAnsi="Times New Roman" w:eastAsia="仿宋_GB2312" w:cs="Times New Roman"/>
          <w:color w:val="000000"/>
          <w:sz w:val="32"/>
          <w:szCs w:val="32"/>
          <w:lang w:eastAsia="zh-CN"/>
        </w:rPr>
        <w:t>局</w:t>
      </w:r>
      <w:r>
        <w:rPr>
          <w:rFonts w:hint="default" w:ascii="Times New Roman" w:hAnsi="Times New Roman" w:eastAsia="仿宋_GB2312" w:cs="Times New Roman"/>
          <w:color w:val="000000"/>
          <w:sz w:val="32"/>
          <w:szCs w:val="32"/>
          <w:lang w:val="en-US" w:eastAsia="zh-CN"/>
        </w:rPr>
        <w:t>8</w:t>
      </w:r>
      <w:r>
        <w:rPr>
          <w:rFonts w:hint="default" w:ascii="Times New Roman" w:hAnsi="Times New Roman" w:eastAsia="仿宋_GB2312" w:cs="Times New Roman"/>
          <w:color w:val="000000"/>
          <w:sz w:val="32"/>
          <w:szCs w:val="32"/>
        </w:rPr>
        <w:t>名同志到我中心</w:t>
      </w:r>
      <w:r>
        <w:rPr>
          <w:rFonts w:hint="default" w:ascii="Times New Roman" w:hAnsi="Times New Roman" w:eastAsia="仿宋_GB2312" w:cs="Times New Roman"/>
          <w:color w:val="000000"/>
          <w:sz w:val="32"/>
          <w:szCs w:val="32"/>
          <w:lang w:eastAsia="zh-CN"/>
        </w:rPr>
        <w:t>调研工伤智能监审系统</w:t>
      </w:r>
      <w:r>
        <w:rPr>
          <w:rFonts w:hint="eastAsia" w:ascii="Times New Roman" w:hAnsi="Times New Roman" w:eastAsia="仿宋_GB2312" w:cs="Times New Roman"/>
          <w:color w:val="000000"/>
          <w:sz w:val="32"/>
          <w:szCs w:val="32"/>
          <w:lang w:val="en-US" w:eastAsia="zh-CN"/>
        </w:rPr>
        <w:t>建设情况</w:t>
      </w:r>
      <w:r>
        <w:rPr>
          <w:rFonts w:hint="default" w:ascii="Times New Roman" w:hAnsi="Times New Roman" w:eastAsia="仿宋_GB2312" w:cs="Times New Roman"/>
          <w:color w:val="000000"/>
          <w:sz w:val="32"/>
          <w:szCs w:val="32"/>
        </w:rPr>
        <w:t>，公务接待支出</w:t>
      </w:r>
      <w:r>
        <w:rPr>
          <w:rFonts w:hint="default" w:ascii="Times New Roman" w:hAnsi="Times New Roman" w:eastAsia="仿宋_GB2312" w:cs="Times New Roman"/>
          <w:color w:val="000000"/>
          <w:sz w:val="32"/>
          <w:szCs w:val="32"/>
          <w:lang w:val="en-US" w:eastAsia="zh-CN"/>
        </w:rPr>
        <w:t>1921</w:t>
      </w:r>
      <w:r>
        <w:rPr>
          <w:rFonts w:hint="default" w:ascii="Times New Roman" w:hAnsi="Times New Roman" w:eastAsia="仿宋_GB2312" w:cs="Times New Roman"/>
          <w:color w:val="000000"/>
          <w:sz w:val="32"/>
          <w:szCs w:val="32"/>
        </w:rPr>
        <w:t>元。</w:t>
      </w:r>
    </w:p>
    <w:p w14:paraId="5A7294CE">
      <w:pPr>
        <w:keepNext w:val="0"/>
        <w:keepLines w:val="0"/>
        <w:pageBreakBefore w:val="0"/>
        <w:widowControl w:val="0"/>
        <w:kinsoku/>
        <w:wordWrap/>
        <w:overflowPunct/>
        <w:topLinePunct w:val="0"/>
        <w:autoSpaceDE/>
        <w:autoSpaceDN/>
        <w:bidi w:val="0"/>
        <w:spacing w:line="600" w:lineRule="exact"/>
        <w:ind w:firstLine="640"/>
        <w:textAlignment w:val="auto"/>
        <w:rPr>
          <w:rFonts w:hint="default" w:ascii="Times New Roman" w:hAnsi="Times New Roman" w:eastAsia="仿宋_GB2312" w:cs="Times New Roman"/>
          <w:color w:val="auto"/>
          <w:kern w:val="2"/>
          <w:sz w:val="32"/>
          <w:szCs w:val="32"/>
          <w:highlight w:val="none"/>
          <w:lang w:val="en-US" w:eastAsia="zh-CN" w:bidi="ar-SA"/>
        </w:rPr>
      </w:pPr>
      <w:r>
        <w:rPr>
          <w:rFonts w:hint="default" w:ascii="Times New Roman" w:hAnsi="Times New Roman" w:eastAsia="仿宋_GB2312" w:cs="Times New Roman"/>
          <w:color w:val="auto"/>
          <w:kern w:val="2"/>
          <w:sz w:val="32"/>
          <w:szCs w:val="32"/>
          <w:highlight w:val="none"/>
          <w:lang w:val="en-US" w:eastAsia="zh-CN" w:bidi="ar-SA"/>
        </w:rPr>
        <w:t>外事接待支出</w:t>
      </w:r>
      <w:r>
        <w:rPr>
          <w:rFonts w:hint="default" w:ascii="Times New Roman" w:hAnsi="Times New Roman" w:eastAsia="仿宋_GB2312" w:cs="Times New Roman"/>
          <w:sz w:val="32"/>
          <w:szCs w:val="32"/>
        </w:rPr>
        <w:t>0</w:t>
      </w:r>
      <w:r>
        <w:rPr>
          <w:rFonts w:hint="default" w:ascii="Times New Roman" w:hAnsi="Times New Roman" w:eastAsia="仿宋_GB2312" w:cs="Times New Roman"/>
          <w:color w:val="auto"/>
          <w:kern w:val="2"/>
          <w:sz w:val="32"/>
          <w:szCs w:val="32"/>
          <w:highlight w:val="none"/>
          <w:lang w:val="en-US" w:eastAsia="zh-CN" w:bidi="ar-SA"/>
        </w:rPr>
        <w:t>万元，外事接待</w:t>
      </w:r>
      <w:r>
        <w:rPr>
          <w:rFonts w:hint="default" w:ascii="Times New Roman" w:hAnsi="Times New Roman" w:eastAsia="仿宋_GB2312" w:cs="Times New Roman"/>
          <w:sz w:val="32"/>
          <w:szCs w:val="32"/>
        </w:rPr>
        <w:t>0</w:t>
      </w:r>
      <w:r>
        <w:rPr>
          <w:rFonts w:hint="default" w:ascii="Times New Roman" w:hAnsi="Times New Roman" w:eastAsia="仿宋_GB2312" w:cs="Times New Roman"/>
          <w:color w:val="auto"/>
          <w:kern w:val="2"/>
          <w:sz w:val="32"/>
          <w:szCs w:val="32"/>
          <w:highlight w:val="none"/>
          <w:lang w:val="en-US" w:eastAsia="zh-CN" w:bidi="ar-SA"/>
        </w:rPr>
        <w:t>批次，</w:t>
      </w:r>
      <w:r>
        <w:rPr>
          <w:rFonts w:hint="default" w:ascii="Times New Roman" w:hAnsi="Times New Roman" w:eastAsia="仿宋_GB2312" w:cs="Times New Roman"/>
          <w:sz w:val="32"/>
          <w:szCs w:val="32"/>
        </w:rPr>
        <w:t>0</w:t>
      </w:r>
      <w:r>
        <w:rPr>
          <w:rFonts w:hint="default" w:ascii="Times New Roman" w:hAnsi="Times New Roman" w:eastAsia="仿宋_GB2312" w:cs="Times New Roman"/>
          <w:color w:val="auto"/>
          <w:kern w:val="2"/>
          <w:sz w:val="32"/>
          <w:szCs w:val="32"/>
          <w:highlight w:val="none"/>
          <w:lang w:val="en-US" w:eastAsia="zh-CN" w:bidi="ar-SA"/>
        </w:rPr>
        <w:t>人次（不包括陪同人员），共计支出0万元。</w:t>
      </w:r>
    </w:p>
    <w:p w14:paraId="47BE9885">
      <w:pPr>
        <w:keepNext w:val="0"/>
        <w:keepLines w:val="0"/>
        <w:pageBreakBefore w:val="0"/>
        <w:widowControl w:val="0"/>
        <w:kinsoku/>
        <w:wordWrap/>
        <w:overflowPunct/>
        <w:topLinePunct w:val="0"/>
        <w:autoSpaceDE/>
        <w:autoSpaceDN/>
        <w:bidi w:val="0"/>
        <w:spacing w:line="600" w:lineRule="exact"/>
        <w:ind w:firstLine="640"/>
        <w:textAlignment w:val="auto"/>
        <w:outlineLvl w:val="1"/>
        <w:rPr>
          <w:rStyle w:val="32"/>
          <w:rFonts w:hint="default" w:ascii="Times New Roman" w:hAnsi="Times New Roman" w:eastAsia="黑体" w:cs="Times New Roman"/>
          <w:color w:val="auto"/>
          <w:highlight w:val="none"/>
        </w:rPr>
      </w:pPr>
      <w:bookmarkStart w:id="40" w:name="_Toc15377218"/>
      <w:bookmarkStart w:id="41" w:name="_Toc15396610"/>
      <w:r>
        <w:rPr>
          <w:rFonts w:hint="default" w:ascii="Times New Roman" w:hAnsi="Times New Roman" w:eastAsia="黑体" w:cs="Times New Roman"/>
          <w:color w:val="auto"/>
          <w:sz w:val="32"/>
          <w:szCs w:val="32"/>
          <w:highlight w:val="none"/>
        </w:rPr>
        <w:t>八、</w:t>
      </w:r>
      <w:r>
        <w:rPr>
          <w:rStyle w:val="32"/>
          <w:rFonts w:hint="default" w:ascii="Times New Roman" w:hAnsi="Times New Roman" w:eastAsia="黑体" w:cs="Times New Roman"/>
          <w:b w:val="0"/>
          <w:color w:val="auto"/>
          <w:highlight w:val="none"/>
        </w:rPr>
        <w:t>政府性基金预算支出决算情况说明</w:t>
      </w:r>
      <w:bookmarkEnd w:id="40"/>
      <w:bookmarkEnd w:id="41"/>
    </w:p>
    <w:p w14:paraId="48ED82EB">
      <w:pPr>
        <w:keepNext w:val="0"/>
        <w:keepLines w:val="0"/>
        <w:pageBreakBefore w:val="0"/>
        <w:widowControl w:val="0"/>
        <w:kinsoku/>
        <w:wordWrap/>
        <w:overflowPunct/>
        <w:topLinePunct w:val="0"/>
        <w:autoSpaceDE/>
        <w:autoSpaceDN/>
        <w:bidi w:val="0"/>
        <w:spacing w:line="600" w:lineRule="exact"/>
        <w:ind w:firstLine="64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kern w:val="2"/>
          <w:sz w:val="32"/>
          <w:szCs w:val="32"/>
          <w:highlight w:val="none"/>
          <w:lang w:val="en-US" w:eastAsia="zh-CN" w:bidi="ar-SA"/>
        </w:rPr>
        <w:t>2024年</w:t>
      </w:r>
      <w:bookmarkStart w:id="42" w:name="_Toc15377219"/>
      <w:bookmarkStart w:id="43" w:name="_Toc15396611"/>
      <w:r>
        <w:rPr>
          <w:rFonts w:hint="default" w:ascii="Times New Roman" w:hAnsi="Times New Roman" w:eastAsia="仿宋_GB2312" w:cs="Times New Roman"/>
          <w:color w:val="auto"/>
          <w:sz w:val="32"/>
          <w:szCs w:val="32"/>
          <w:highlight w:val="none"/>
          <w:lang w:eastAsia="zh-CN"/>
        </w:rPr>
        <w:t>度</w:t>
      </w:r>
      <w:r>
        <w:rPr>
          <w:rFonts w:hint="default" w:ascii="Times New Roman" w:hAnsi="Times New Roman" w:eastAsia="仿宋_GB2312" w:cs="Times New Roman"/>
          <w:color w:val="auto"/>
          <w:sz w:val="32"/>
          <w:szCs w:val="32"/>
          <w:highlight w:val="none"/>
        </w:rPr>
        <w:t>政府性基金预算</w:t>
      </w:r>
      <w:r>
        <w:rPr>
          <w:rFonts w:hint="default" w:ascii="Times New Roman" w:hAnsi="Times New Roman" w:eastAsia="仿宋_GB2312" w:cs="Times New Roman"/>
          <w:color w:val="auto"/>
          <w:sz w:val="32"/>
          <w:szCs w:val="32"/>
          <w:highlight w:val="none"/>
          <w:lang w:eastAsia="zh-CN"/>
        </w:rPr>
        <w:t>财政</w:t>
      </w:r>
      <w:r>
        <w:rPr>
          <w:rFonts w:hint="default" w:ascii="Times New Roman" w:hAnsi="Times New Roman" w:eastAsia="仿宋_GB2312" w:cs="Times New Roman"/>
          <w:color w:val="auto"/>
          <w:sz w:val="32"/>
          <w:szCs w:val="32"/>
          <w:highlight w:val="none"/>
        </w:rPr>
        <w:t>拨款支出</w:t>
      </w:r>
      <w:r>
        <w:rPr>
          <w:rFonts w:hint="default" w:ascii="Times New Roman" w:hAnsi="Times New Roman" w:eastAsia="仿宋_GB2312" w:cs="Times New Roman"/>
          <w:color w:val="auto"/>
          <w:sz w:val="32"/>
          <w:szCs w:val="32"/>
          <w:highlight w:val="none"/>
          <w:lang w:val="en-US" w:eastAsia="zh-CN"/>
        </w:rPr>
        <w:t>0</w:t>
      </w:r>
      <w:r>
        <w:rPr>
          <w:rFonts w:hint="default" w:ascii="Times New Roman" w:hAnsi="Times New Roman" w:eastAsia="仿宋_GB2312" w:cs="Times New Roman"/>
          <w:color w:val="auto"/>
          <w:sz w:val="32"/>
          <w:szCs w:val="32"/>
          <w:highlight w:val="none"/>
        </w:rPr>
        <w:t>万元。</w:t>
      </w:r>
    </w:p>
    <w:p w14:paraId="214775E7">
      <w:pPr>
        <w:keepNext w:val="0"/>
        <w:keepLines w:val="0"/>
        <w:pageBreakBefore w:val="0"/>
        <w:widowControl w:val="0"/>
        <w:numPr>
          <w:ilvl w:val="0"/>
          <w:numId w:val="0"/>
        </w:numPr>
        <w:kinsoku/>
        <w:wordWrap/>
        <w:overflowPunct/>
        <w:topLinePunct w:val="0"/>
        <w:autoSpaceDE/>
        <w:autoSpaceDN/>
        <w:bidi w:val="0"/>
        <w:spacing w:line="600" w:lineRule="exact"/>
        <w:ind w:left="630" w:leftChars="0"/>
        <w:textAlignment w:val="auto"/>
        <w:outlineLvl w:val="1"/>
        <w:rPr>
          <w:rStyle w:val="32"/>
          <w:rFonts w:hint="default" w:ascii="Times New Roman" w:hAnsi="Times New Roman" w:eastAsia="黑体" w:cs="Times New Roman"/>
          <w:b w:val="0"/>
          <w:color w:val="auto"/>
          <w:highlight w:val="none"/>
        </w:rPr>
      </w:pPr>
      <w:r>
        <w:rPr>
          <w:rStyle w:val="32"/>
          <w:rFonts w:hint="default" w:ascii="Times New Roman" w:hAnsi="Times New Roman" w:eastAsia="黑体" w:cs="Times New Roman"/>
          <w:b w:val="0"/>
          <w:color w:val="auto"/>
          <w:highlight w:val="none"/>
          <w:lang w:eastAsia="zh-CN"/>
        </w:rPr>
        <w:t>九、</w:t>
      </w:r>
      <w:r>
        <w:rPr>
          <w:rStyle w:val="32"/>
          <w:rFonts w:hint="default" w:ascii="Times New Roman" w:hAnsi="Times New Roman" w:eastAsia="黑体" w:cs="Times New Roman"/>
          <w:b w:val="0"/>
          <w:color w:val="auto"/>
          <w:highlight w:val="none"/>
        </w:rPr>
        <w:t>国有资本经营预算支出决算情况说明</w:t>
      </w:r>
      <w:bookmarkEnd w:id="42"/>
      <w:bookmarkEnd w:id="43"/>
    </w:p>
    <w:p w14:paraId="23FA6D72">
      <w:pPr>
        <w:keepNext w:val="0"/>
        <w:keepLines w:val="0"/>
        <w:pageBreakBefore w:val="0"/>
        <w:widowControl w:val="0"/>
        <w:kinsoku/>
        <w:wordWrap/>
        <w:overflowPunct/>
        <w:topLinePunct w:val="0"/>
        <w:autoSpaceDE/>
        <w:autoSpaceDN/>
        <w:bidi w:val="0"/>
        <w:spacing w:line="600" w:lineRule="exact"/>
        <w:ind w:firstLine="64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kern w:val="2"/>
          <w:sz w:val="32"/>
          <w:szCs w:val="32"/>
          <w:highlight w:val="none"/>
          <w:lang w:val="en-US" w:eastAsia="zh-CN" w:bidi="ar-SA"/>
        </w:rPr>
        <w:t>2024</w:t>
      </w:r>
      <w:r>
        <w:rPr>
          <w:rFonts w:hint="default" w:ascii="Times New Roman" w:hAnsi="Times New Roman" w:eastAsia="仿宋_GB2312" w:cs="Times New Roman"/>
          <w:color w:val="auto"/>
          <w:sz w:val="32"/>
          <w:szCs w:val="32"/>
          <w:highlight w:val="none"/>
        </w:rPr>
        <w:t>年</w:t>
      </w:r>
      <w:r>
        <w:rPr>
          <w:rFonts w:hint="default" w:ascii="Times New Roman" w:hAnsi="Times New Roman" w:eastAsia="仿宋_GB2312" w:cs="Times New Roman"/>
          <w:color w:val="auto"/>
          <w:sz w:val="32"/>
          <w:szCs w:val="32"/>
          <w:highlight w:val="none"/>
          <w:lang w:eastAsia="zh-CN"/>
        </w:rPr>
        <w:t>度</w:t>
      </w:r>
      <w:r>
        <w:rPr>
          <w:rFonts w:hint="default" w:ascii="Times New Roman" w:hAnsi="Times New Roman" w:eastAsia="仿宋_GB2312" w:cs="Times New Roman"/>
          <w:color w:val="auto"/>
          <w:sz w:val="32"/>
          <w:szCs w:val="32"/>
          <w:highlight w:val="none"/>
        </w:rPr>
        <w:t>国有资本经营预算</w:t>
      </w:r>
      <w:r>
        <w:rPr>
          <w:rFonts w:hint="default" w:ascii="Times New Roman" w:hAnsi="Times New Roman" w:eastAsia="仿宋_GB2312" w:cs="Times New Roman"/>
          <w:color w:val="auto"/>
          <w:sz w:val="32"/>
          <w:szCs w:val="32"/>
          <w:highlight w:val="none"/>
          <w:lang w:eastAsia="zh-CN"/>
        </w:rPr>
        <w:t>财政</w:t>
      </w:r>
      <w:r>
        <w:rPr>
          <w:rFonts w:hint="default" w:ascii="Times New Roman" w:hAnsi="Times New Roman" w:eastAsia="仿宋_GB2312" w:cs="Times New Roman"/>
          <w:color w:val="auto"/>
          <w:sz w:val="32"/>
          <w:szCs w:val="32"/>
          <w:highlight w:val="none"/>
        </w:rPr>
        <w:t>拨款支出</w:t>
      </w:r>
      <w:r>
        <w:rPr>
          <w:rFonts w:hint="default" w:ascii="Times New Roman" w:hAnsi="Times New Roman" w:eastAsia="仿宋_GB2312" w:cs="Times New Roman"/>
          <w:color w:val="auto"/>
          <w:sz w:val="32"/>
          <w:szCs w:val="32"/>
          <w:highlight w:val="none"/>
          <w:lang w:val="en-US" w:eastAsia="zh-CN"/>
        </w:rPr>
        <w:t>0</w:t>
      </w:r>
      <w:r>
        <w:rPr>
          <w:rFonts w:hint="default" w:ascii="Times New Roman" w:hAnsi="Times New Roman" w:eastAsia="仿宋_GB2312" w:cs="Times New Roman"/>
          <w:color w:val="auto"/>
          <w:sz w:val="32"/>
          <w:szCs w:val="32"/>
          <w:highlight w:val="none"/>
        </w:rPr>
        <w:t>万元。</w:t>
      </w:r>
    </w:p>
    <w:p w14:paraId="230BDCFE">
      <w:pPr>
        <w:keepNext w:val="0"/>
        <w:keepLines w:val="0"/>
        <w:pageBreakBefore w:val="0"/>
        <w:widowControl w:val="0"/>
        <w:numPr>
          <w:ilvl w:val="0"/>
          <w:numId w:val="0"/>
        </w:numPr>
        <w:kinsoku/>
        <w:wordWrap/>
        <w:overflowPunct/>
        <w:topLinePunct w:val="0"/>
        <w:autoSpaceDE/>
        <w:autoSpaceDN/>
        <w:bidi w:val="0"/>
        <w:spacing w:line="600" w:lineRule="exact"/>
        <w:ind w:left="630" w:leftChars="0"/>
        <w:textAlignment w:val="auto"/>
        <w:outlineLvl w:val="1"/>
        <w:rPr>
          <w:rStyle w:val="32"/>
          <w:rFonts w:hint="default" w:ascii="Times New Roman" w:hAnsi="Times New Roman" w:eastAsia="黑体" w:cs="Times New Roman"/>
          <w:b w:val="0"/>
          <w:color w:val="auto"/>
          <w:highlight w:val="none"/>
        </w:rPr>
      </w:pPr>
      <w:bookmarkStart w:id="44" w:name="_Toc15377221"/>
      <w:bookmarkStart w:id="45" w:name="_Toc15396612"/>
      <w:r>
        <w:rPr>
          <w:rStyle w:val="32"/>
          <w:rFonts w:hint="default" w:ascii="Times New Roman" w:hAnsi="Times New Roman" w:eastAsia="黑体" w:cs="Times New Roman"/>
          <w:b w:val="0"/>
          <w:color w:val="auto"/>
          <w:highlight w:val="none"/>
          <w:lang w:eastAsia="zh-CN"/>
        </w:rPr>
        <w:t>十、</w:t>
      </w:r>
      <w:r>
        <w:rPr>
          <w:rStyle w:val="32"/>
          <w:rFonts w:hint="default" w:ascii="Times New Roman" w:hAnsi="Times New Roman" w:eastAsia="黑体" w:cs="Times New Roman"/>
          <w:b w:val="0"/>
          <w:color w:val="auto"/>
          <w:highlight w:val="none"/>
        </w:rPr>
        <w:t>其他重要事项的情况说明</w:t>
      </w:r>
      <w:bookmarkEnd w:id="44"/>
      <w:bookmarkEnd w:id="45"/>
    </w:p>
    <w:p w14:paraId="264F05C6">
      <w:pPr>
        <w:keepNext w:val="0"/>
        <w:keepLines w:val="0"/>
        <w:pageBreakBefore w:val="0"/>
        <w:widowControl w:val="0"/>
        <w:kinsoku/>
        <w:wordWrap/>
        <w:overflowPunct/>
        <w:topLinePunct w:val="0"/>
        <w:autoSpaceDE/>
        <w:autoSpaceDN/>
        <w:bidi w:val="0"/>
        <w:spacing w:line="600" w:lineRule="exact"/>
        <w:ind w:firstLine="640" w:firstLineChars="200"/>
        <w:textAlignment w:val="auto"/>
        <w:outlineLvl w:val="2"/>
        <w:rPr>
          <w:rFonts w:hint="default" w:ascii="Times New Roman" w:hAnsi="Times New Roman" w:eastAsia="楷体_GB2312" w:cs="Times New Roman"/>
          <w:b/>
          <w:color w:val="auto"/>
          <w:sz w:val="32"/>
          <w:szCs w:val="32"/>
          <w:highlight w:val="none"/>
        </w:rPr>
      </w:pPr>
      <w:bookmarkStart w:id="46" w:name="_Toc15377222"/>
      <w:r>
        <w:rPr>
          <w:rFonts w:hint="default" w:ascii="Times New Roman" w:hAnsi="Times New Roman" w:eastAsia="楷体_GB2312" w:cs="Times New Roman"/>
          <w:b/>
          <w:color w:val="auto"/>
          <w:sz w:val="32"/>
          <w:szCs w:val="32"/>
          <w:highlight w:val="none"/>
        </w:rPr>
        <w:t>（一）机关运行经费支出情况</w:t>
      </w:r>
      <w:bookmarkEnd w:id="46"/>
    </w:p>
    <w:p w14:paraId="19E32975">
      <w:pPr>
        <w:keepNext w:val="0"/>
        <w:keepLines w:val="0"/>
        <w:pageBreakBefore w:val="0"/>
        <w:widowControl w:val="0"/>
        <w:kinsoku/>
        <w:wordWrap/>
        <w:overflowPunct/>
        <w:topLinePunct w:val="0"/>
        <w:autoSpaceDE/>
        <w:autoSpaceDN/>
        <w:bidi w:val="0"/>
        <w:spacing w:line="600" w:lineRule="exact"/>
        <w:ind w:firstLine="640"/>
        <w:textAlignment w:val="auto"/>
        <w:rPr>
          <w:rFonts w:hint="default" w:ascii="Times New Roman" w:hAnsi="Times New Roman" w:eastAsia="仿宋_GB2312" w:cs="Times New Roman"/>
          <w:color w:val="auto"/>
          <w:kern w:val="2"/>
          <w:sz w:val="32"/>
          <w:szCs w:val="32"/>
          <w:highlight w:val="none"/>
          <w:lang w:val="en-US" w:eastAsia="zh-CN" w:bidi="ar-SA"/>
        </w:rPr>
      </w:pPr>
      <w:r>
        <w:rPr>
          <w:rFonts w:hint="default" w:ascii="Times New Roman" w:hAnsi="Times New Roman" w:eastAsia="仿宋_GB2312" w:cs="Times New Roman"/>
          <w:color w:val="auto"/>
          <w:kern w:val="2"/>
          <w:sz w:val="32"/>
          <w:szCs w:val="32"/>
          <w:highlight w:val="none"/>
          <w:lang w:val="en-US" w:eastAsia="zh-CN" w:bidi="ar-SA"/>
        </w:rPr>
        <w:t>2024年度，</w:t>
      </w:r>
      <w:r>
        <w:rPr>
          <w:rFonts w:hint="default" w:ascii="Times New Roman" w:hAnsi="Times New Roman" w:eastAsia="仿宋_GB2312" w:cs="Times New Roman"/>
          <w:sz w:val="32"/>
          <w:szCs w:val="32"/>
        </w:rPr>
        <w:t>四川省攀枝花市社会保险事务中心</w:t>
      </w:r>
      <w:r>
        <w:rPr>
          <w:rFonts w:hint="default" w:ascii="Times New Roman" w:hAnsi="Times New Roman" w:eastAsia="仿宋_GB2312" w:cs="Times New Roman"/>
          <w:color w:val="auto"/>
          <w:kern w:val="2"/>
          <w:sz w:val="32"/>
          <w:szCs w:val="32"/>
          <w:highlight w:val="none"/>
          <w:lang w:val="en-US" w:eastAsia="zh-CN" w:bidi="ar-SA"/>
        </w:rPr>
        <w:t>机关运行经费支出</w:t>
      </w:r>
      <w:r>
        <w:rPr>
          <w:rFonts w:hint="default" w:ascii="Times New Roman" w:hAnsi="Times New Roman" w:eastAsia="仿宋_GB2312" w:cs="Times New Roman"/>
          <w:sz w:val="32"/>
          <w:szCs w:val="32"/>
        </w:rPr>
        <w:t>140.5</w:t>
      </w:r>
      <w:r>
        <w:rPr>
          <w:rFonts w:hint="default" w:ascii="Times New Roman" w:hAnsi="Times New Roman" w:eastAsia="仿宋_GB2312" w:cs="Times New Roman"/>
          <w:color w:val="auto"/>
          <w:kern w:val="2"/>
          <w:sz w:val="32"/>
          <w:szCs w:val="32"/>
          <w:highlight w:val="none"/>
          <w:lang w:val="en-US" w:eastAsia="zh-CN" w:bidi="ar-SA"/>
        </w:rPr>
        <w:t>万元，比2023年度增加20.97万元，增长17.54%。主要原因是2024年我中心按</w:t>
      </w:r>
      <w:r>
        <w:rPr>
          <w:rFonts w:hint="eastAsia" w:ascii="Times New Roman" w:hAnsi="Times New Roman" w:eastAsia="仿宋_GB2312" w:cs="Times New Roman"/>
          <w:color w:val="auto"/>
          <w:kern w:val="2"/>
          <w:sz w:val="32"/>
          <w:szCs w:val="32"/>
          <w:highlight w:val="none"/>
          <w:lang w:val="en-US" w:eastAsia="zh-CN" w:bidi="ar-SA"/>
        </w:rPr>
        <w:t>市人力资源社会保障</w:t>
      </w:r>
      <w:r>
        <w:rPr>
          <w:rFonts w:hint="default" w:ascii="Times New Roman" w:hAnsi="Times New Roman" w:eastAsia="仿宋_GB2312" w:cs="Times New Roman"/>
          <w:color w:val="auto"/>
          <w:kern w:val="2"/>
          <w:sz w:val="32"/>
          <w:szCs w:val="32"/>
          <w:highlight w:val="none"/>
          <w:lang w:val="en-US" w:eastAsia="zh-CN" w:bidi="ar-SA"/>
        </w:rPr>
        <w:t>局要求派遣2名同志到财政部、</w:t>
      </w:r>
      <w:r>
        <w:rPr>
          <w:rFonts w:hint="eastAsia" w:ascii="Times New Roman" w:hAnsi="Times New Roman" w:eastAsia="仿宋_GB2312" w:cs="Times New Roman"/>
          <w:color w:val="auto"/>
          <w:kern w:val="2"/>
          <w:sz w:val="32"/>
          <w:szCs w:val="32"/>
          <w:highlight w:val="none"/>
          <w:lang w:val="en-US" w:eastAsia="zh-CN" w:bidi="ar-SA"/>
        </w:rPr>
        <w:t>人力资源社会保障</w:t>
      </w:r>
      <w:r>
        <w:rPr>
          <w:rFonts w:hint="default" w:ascii="Times New Roman" w:hAnsi="Times New Roman" w:eastAsia="仿宋_GB2312" w:cs="Times New Roman"/>
          <w:color w:val="auto"/>
          <w:kern w:val="2"/>
          <w:sz w:val="32"/>
          <w:szCs w:val="32"/>
          <w:highlight w:val="none"/>
          <w:lang w:val="en-US" w:eastAsia="zh-CN" w:bidi="ar-SA"/>
        </w:rPr>
        <w:t>部挂职锻炼所需的房租费和差旅费。</w:t>
      </w:r>
    </w:p>
    <w:p w14:paraId="2F57D3D6">
      <w:pPr>
        <w:keepNext w:val="0"/>
        <w:keepLines w:val="0"/>
        <w:pageBreakBefore w:val="0"/>
        <w:widowControl w:val="0"/>
        <w:kinsoku/>
        <w:wordWrap/>
        <w:overflowPunct/>
        <w:topLinePunct w:val="0"/>
        <w:autoSpaceDE/>
        <w:autoSpaceDN/>
        <w:bidi w:val="0"/>
        <w:spacing w:line="600" w:lineRule="exact"/>
        <w:ind w:firstLine="640" w:firstLineChars="200"/>
        <w:textAlignment w:val="auto"/>
        <w:outlineLvl w:val="2"/>
        <w:rPr>
          <w:rFonts w:hint="default" w:ascii="Times New Roman" w:hAnsi="Times New Roman" w:eastAsia="楷体_GB2312" w:cs="Times New Roman"/>
          <w:b/>
          <w:color w:val="auto"/>
          <w:sz w:val="32"/>
          <w:szCs w:val="32"/>
          <w:highlight w:val="none"/>
        </w:rPr>
      </w:pPr>
      <w:bookmarkStart w:id="47" w:name="_Toc15377223"/>
      <w:r>
        <w:rPr>
          <w:rFonts w:hint="default" w:ascii="Times New Roman" w:hAnsi="Times New Roman" w:eastAsia="楷体_GB2312" w:cs="Times New Roman"/>
          <w:b/>
          <w:color w:val="auto"/>
          <w:sz w:val="32"/>
          <w:szCs w:val="32"/>
          <w:highlight w:val="none"/>
        </w:rPr>
        <w:t>（二）政府采购支出情况</w:t>
      </w:r>
      <w:bookmarkEnd w:id="47"/>
    </w:p>
    <w:p w14:paraId="5D4286C8">
      <w:pPr>
        <w:keepNext w:val="0"/>
        <w:keepLines w:val="0"/>
        <w:pageBreakBefore w:val="0"/>
        <w:widowControl w:val="0"/>
        <w:kinsoku/>
        <w:wordWrap/>
        <w:overflowPunct/>
        <w:topLinePunct w:val="0"/>
        <w:autoSpaceDE/>
        <w:autoSpaceDN/>
        <w:bidi w:val="0"/>
        <w:spacing w:line="600" w:lineRule="exact"/>
        <w:ind w:firstLine="640"/>
        <w:textAlignment w:val="auto"/>
        <w:rPr>
          <w:rFonts w:hint="default" w:ascii="Times New Roman" w:hAnsi="Times New Roman" w:eastAsia="仿宋_GB2312" w:cs="Times New Roman"/>
          <w:color w:val="auto"/>
          <w:kern w:val="2"/>
          <w:sz w:val="32"/>
          <w:szCs w:val="32"/>
          <w:highlight w:val="none"/>
          <w:lang w:val="en-US" w:eastAsia="zh-CN" w:bidi="ar-SA"/>
        </w:rPr>
      </w:pPr>
      <w:r>
        <w:rPr>
          <w:rFonts w:hint="default" w:ascii="Times New Roman" w:hAnsi="Times New Roman" w:eastAsia="仿宋_GB2312" w:cs="Times New Roman"/>
          <w:color w:val="auto"/>
          <w:kern w:val="2"/>
          <w:sz w:val="32"/>
          <w:szCs w:val="32"/>
          <w:highlight w:val="none"/>
          <w:lang w:val="en-US" w:eastAsia="zh-CN" w:bidi="ar-SA"/>
        </w:rPr>
        <w:t>2024年度，</w:t>
      </w:r>
      <w:r>
        <w:rPr>
          <w:rFonts w:hint="default" w:ascii="Times New Roman" w:hAnsi="Times New Roman" w:eastAsia="仿宋_GB2312" w:cs="Times New Roman"/>
          <w:color w:val="auto"/>
          <w:sz w:val="32"/>
          <w:szCs w:val="32"/>
        </w:rPr>
        <w:t>四川省攀枝花市社会保险事务中心</w:t>
      </w:r>
      <w:r>
        <w:rPr>
          <w:rFonts w:hint="default" w:ascii="Times New Roman" w:hAnsi="Times New Roman" w:eastAsia="仿宋_GB2312" w:cs="Times New Roman"/>
          <w:color w:val="auto"/>
          <w:kern w:val="2"/>
          <w:sz w:val="32"/>
          <w:szCs w:val="32"/>
          <w:highlight w:val="none"/>
          <w:lang w:val="en-US" w:eastAsia="zh-CN" w:bidi="ar-SA"/>
        </w:rPr>
        <w:t>政府采购支出总额</w:t>
      </w:r>
      <w:r>
        <w:rPr>
          <w:rFonts w:hint="default" w:ascii="Times New Roman" w:hAnsi="Times New Roman" w:eastAsia="仿宋_GB2312" w:cs="Times New Roman"/>
          <w:color w:val="auto"/>
          <w:sz w:val="32"/>
          <w:szCs w:val="32"/>
        </w:rPr>
        <w:t>427.07</w:t>
      </w:r>
      <w:r>
        <w:rPr>
          <w:rFonts w:hint="default" w:ascii="Times New Roman" w:hAnsi="Times New Roman" w:eastAsia="仿宋_GB2312" w:cs="Times New Roman"/>
          <w:color w:val="auto"/>
          <w:kern w:val="2"/>
          <w:sz w:val="32"/>
          <w:szCs w:val="32"/>
          <w:highlight w:val="none"/>
          <w:lang w:val="en-US" w:eastAsia="zh-CN" w:bidi="ar-SA"/>
        </w:rPr>
        <w:t>万元，其中：政府采购货物支出</w:t>
      </w:r>
      <w:r>
        <w:rPr>
          <w:rFonts w:hint="default" w:ascii="Times New Roman" w:hAnsi="Times New Roman" w:eastAsia="仿宋_GB2312" w:cs="Times New Roman"/>
          <w:color w:val="auto"/>
          <w:sz w:val="32"/>
          <w:szCs w:val="32"/>
        </w:rPr>
        <w:t>0</w:t>
      </w:r>
      <w:r>
        <w:rPr>
          <w:rFonts w:hint="default" w:ascii="Times New Roman" w:hAnsi="Times New Roman" w:eastAsia="仿宋_GB2312" w:cs="Times New Roman"/>
          <w:color w:val="auto"/>
          <w:kern w:val="2"/>
          <w:sz w:val="32"/>
          <w:szCs w:val="32"/>
          <w:highlight w:val="none"/>
          <w:lang w:val="en-US" w:eastAsia="zh-CN" w:bidi="ar-SA"/>
        </w:rPr>
        <w:t>万元、政府采购工程支出</w:t>
      </w:r>
      <w:r>
        <w:rPr>
          <w:rFonts w:hint="default" w:ascii="Times New Roman" w:hAnsi="Times New Roman" w:eastAsia="仿宋_GB2312" w:cs="Times New Roman"/>
          <w:color w:val="auto"/>
          <w:sz w:val="32"/>
          <w:szCs w:val="32"/>
        </w:rPr>
        <w:t>0</w:t>
      </w:r>
      <w:r>
        <w:rPr>
          <w:rFonts w:hint="default" w:ascii="Times New Roman" w:hAnsi="Times New Roman" w:eastAsia="仿宋_GB2312" w:cs="Times New Roman"/>
          <w:color w:val="auto"/>
          <w:kern w:val="2"/>
          <w:sz w:val="32"/>
          <w:szCs w:val="32"/>
          <w:highlight w:val="none"/>
          <w:lang w:val="en-US" w:eastAsia="zh-CN" w:bidi="ar-SA"/>
        </w:rPr>
        <w:t>万元、政府采购服务支出</w:t>
      </w:r>
      <w:r>
        <w:rPr>
          <w:rFonts w:hint="default" w:ascii="Times New Roman" w:hAnsi="Times New Roman" w:eastAsia="仿宋_GB2312" w:cs="Times New Roman"/>
          <w:color w:val="auto"/>
          <w:sz w:val="32"/>
          <w:szCs w:val="32"/>
        </w:rPr>
        <w:t>427.07</w:t>
      </w:r>
      <w:r>
        <w:rPr>
          <w:rFonts w:hint="default" w:ascii="Times New Roman" w:hAnsi="Times New Roman" w:eastAsia="仿宋_GB2312" w:cs="Times New Roman"/>
          <w:color w:val="auto"/>
          <w:kern w:val="2"/>
          <w:sz w:val="32"/>
          <w:szCs w:val="32"/>
          <w:highlight w:val="none"/>
          <w:lang w:val="en-US" w:eastAsia="zh-CN" w:bidi="ar-SA"/>
        </w:rPr>
        <w:t>万元。主要用于</w:t>
      </w:r>
      <w:r>
        <w:rPr>
          <w:rFonts w:hint="eastAsia" w:eastAsia="仿宋_GB2312" w:cs="Times New Roman"/>
          <w:color w:val="auto"/>
          <w:kern w:val="2"/>
          <w:sz w:val="32"/>
          <w:szCs w:val="32"/>
          <w:highlight w:val="none"/>
          <w:lang w:val="en-US" w:eastAsia="zh-CN" w:bidi="ar-SA"/>
        </w:rPr>
        <w:t>工伤预防培训及宣传项目426.6；用于公务用车加油、维修0.47万元</w:t>
      </w:r>
      <w:r>
        <w:rPr>
          <w:rFonts w:hint="default" w:ascii="Times New Roman" w:hAnsi="Times New Roman" w:eastAsia="仿宋_GB2312" w:cs="Times New Roman"/>
          <w:color w:val="auto"/>
          <w:kern w:val="2"/>
          <w:sz w:val="32"/>
          <w:szCs w:val="32"/>
          <w:highlight w:val="none"/>
          <w:lang w:val="en-US" w:eastAsia="zh-CN" w:bidi="ar-SA"/>
        </w:rPr>
        <w:t>。授予中小企业合同金额</w:t>
      </w:r>
      <w:r>
        <w:rPr>
          <w:rFonts w:hint="default" w:ascii="Times New Roman" w:hAnsi="Times New Roman" w:eastAsia="仿宋_GB2312" w:cs="Times New Roman"/>
          <w:color w:val="auto"/>
          <w:sz w:val="32"/>
          <w:szCs w:val="32"/>
        </w:rPr>
        <w:t>427.07</w:t>
      </w:r>
      <w:r>
        <w:rPr>
          <w:rFonts w:hint="default" w:ascii="Times New Roman" w:hAnsi="Times New Roman" w:eastAsia="仿宋_GB2312" w:cs="Times New Roman"/>
          <w:color w:val="auto"/>
          <w:kern w:val="2"/>
          <w:sz w:val="32"/>
          <w:szCs w:val="32"/>
          <w:highlight w:val="none"/>
          <w:lang w:val="en-US" w:eastAsia="zh-CN" w:bidi="ar-SA"/>
        </w:rPr>
        <w:t>万元，占政府采购支出总额的</w:t>
      </w:r>
      <w:r>
        <w:rPr>
          <w:rFonts w:hint="default" w:ascii="Times New Roman" w:hAnsi="Times New Roman" w:eastAsia="仿宋_GB2312" w:cs="Times New Roman"/>
          <w:color w:val="auto"/>
          <w:sz w:val="32"/>
          <w:szCs w:val="32"/>
        </w:rPr>
        <w:t>100</w:t>
      </w:r>
      <w:r>
        <w:rPr>
          <w:rFonts w:hint="default" w:ascii="Times New Roman" w:hAnsi="Times New Roman" w:eastAsia="仿宋_GB2312" w:cs="Times New Roman"/>
          <w:color w:val="auto"/>
          <w:kern w:val="2"/>
          <w:sz w:val="32"/>
          <w:szCs w:val="32"/>
          <w:highlight w:val="none"/>
          <w:lang w:val="en-US" w:eastAsia="zh-CN" w:bidi="ar-SA"/>
        </w:rPr>
        <w:t>%，其中：授予小微企业合同金额</w:t>
      </w:r>
      <w:r>
        <w:rPr>
          <w:rFonts w:hint="default" w:ascii="Times New Roman" w:hAnsi="Times New Roman" w:eastAsia="仿宋_GB2312" w:cs="Times New Roman"/>
          <w:color w:val="auto"/>
          <w:sz w:val="32"/>
          <w:szCs w:val="32"/>
        </w:rPr>
        <w:t>249.97</w:t>
      </w:r>
      <w:r>
        <w:rPr>
          <w:rFonts w:hint="default" w:ascii="Times New Roman" w:hAnsi="Times New Roman" w:eastAsia="仿宋_GB2312" w:cs="Times New Roman"/>
          <w:color w:val="auto"/>
          <w:kern w:val="2"/>
          <w:sz w:val="32"/>
          <w:szCs w:val="32"/>
          <w:highlight w:val="none"/>
          <w:lang w:val="en-US" w:eastAsia="zh-CN" w:bidi="ar-SA"/>
        </w:rPr>
        <w:t>万元，占政府采购支出总额的</w:t>
      </w:r>
      <w:r>
        <w:rPr>
          <w:rFonts w:hint="default" w:ascii="Times New Roman" w:hAnsi="Times New Roman" w:eastAsia="仿宋_GB2312" w:cs="Times New Roman"/>
          <w:color w:val="auto"/>
          <w:sz w:val="32"/>
          <w:szCs w:val="32"/>
        </w:rPr>
        <w:t>58.53</w:t>
      </w:r>
      <w:r>
        <w:rPr>
          <w:rFonts w:hint="default" w:ascii="Times New Roman" w:hAnsi="Times New Roman" w:eastAsia="仿宋_GB2312" w:cs="Times New Roman"/>
          <w:color w:val="auto"/>
          <w:kern w:val="2"/>
          <w:sz w:val="32"/>
          <w:szCs w:val="32"/>
          <w:highlight w:val="none"/>
          <w:lang w:val="en-US" w:eastAsia="zh-CN" w:bidi="ar-SA"/>
        </w:rPr>
        <w:t>%。</w:t>
      </w:r>
    </w:p>
    <w:p w14:paraId="0EDB2651">
      <w:pPr>
        <w:keepNext w:val="0"/>
        <w:keepLines w:val="0"/>
        <w:pageBreakBefore w:val="0"/>
        <w:widowControl w:val="0"/>
        <w:kinsoku/>
        <w:wordWrap/>
        <w:overflowPunct/>
        <w:topLinePunct w:val="0"/>
        <w:autoSpaceDE/>
        <w:autoSpaceDN/>
        <w:bidi w:val="0"/>
        <w:spacing w:line="600" w:lineRule="exact"/>
        <w:ind w:firstLine="640" w:firstLineChars="200"/>
        <w:textAlignment w:val="auto"/>
        <w:outlineLvl w:val="2"/>
        <w:rPr>
          <w:rFonts w:hint="default" w:ascii="Times New Roman" w:hAnsi="Times New Roman" w:eastAsia="楷体_GB2312" w:cs="Times New Roman"/>
          <w:b/>
          <w:color w:val="auto"/>
          <w:sz w:val="32"/>
          <w:szCs w:val="32"/>
          <w:highlight w:val="none"/>
        </w:rPr>
      </w:pPr>
      <w:bookmarkStart w:id="48" w:name="_Toc15377224"/>
      <w:r>
        <w:rPr>
          <w:rFonts w:hint="default" w:ascii="Times New Roman" w:hAnsi="Times New Roman" w:eastAsia="楷体_GB2312" w:cs="Times New Roman"/>
          <w:b/>
          <w:color w:val="auto"/>
          <w:sz w:val="32"/>
          <w:szCs w:val="32"/>
          <w:highlight w:val="none"/>
        </w:rPr>
        <w:t>（三）国有资产占有使用情况</w:t>
      </w:r>
      <w:bookmarkEnd w:id="48"/>
    </w:p>
    <w:p w14:paraId="0F5FF36E">
      <w:pPr>
        <w:keepNext w:val="0"/>
        <w:keepLines w:val="0"/>
        <w:pageBreakBefore w:val="0"/>
        <w:widowControl w:val="0"/>
        <w:kinsoku/>
        <w:wordWrap/>
        <w:overflowPunct/>
        <w:topLinePunct w:val="0"/>
        <w:autoSpaceDE/>
        <w:autoSpaceDN/>
        <w:bidi w:val="0"/>
        <w:spacing w:line="600" w:lineRule="exact"/>
        <w:ind w:firstLine="640"/>
        <w:textAlignment w:val="auto"/>
        <w:rPr>
          <w:rFonts w:hint="default" w:ascii="Times New Roman" w:hAnsi="Times New Roman" w:eastAsia="仿宋_GB2312" w:cs="Times New Roman"/>
          <w:color w:val="auto"/>
          <w:kern w:val="2"/>
          <w:sz w:val="32"/>
          <w:szCs w:val="32"/>
          <w:highlight w:val="none"/>
          <w:lang w:val="en-US" w:eastAsia="zh-CN" w:bidi="ar-SA"/>
        </w:rPr>
      </w:pPr>
      <w:r>
        <w:rPr>
          <w:rFonts w:hint="default" w:ascii="Times New Roman" w:hAnsi="Times New Roman" w:eastAsia="仿宋_GB2312" w:cs="Times New Roman"/>
          <w:color w:val="auto"/>
          <w:kern w:val="2"/>
          <w:sz w:val="32"/>
          <w:szCs w:val="32"/>
          <w:highlight w:val="none"/>
          <w:lang w:val="en-US" w:eastAsia="zh-CN" w:bidi="ar-SA"/>
        </w:rPr>
        <w:t>截至2024年12月31日，</w:t>
      </w:r>
      <w:r>
        <w:rPr>
          <w:rFonts w:hint="default" w:ascii="Times New Roman" w:hAnsi="Times New Roman" w:eastAsia="仿宋_GB2312" w:cs="Times New Roman"/>
          <w:sz w:val="32"/>
          <w:szCs w:val="32"/>
        </w:rPr>
        <w:t>四川省攀枝花市社会保险事务中心</w:t>
      </w:r>
      <w:r>
        <w:rPr>
          <w:rFonts w:hint="default" w:ascii="Times New Roman" w:hAnsi="Times New Roman" w:eastAsia="仿宋_GB2312" w:cs="Times New Roman"/>
          <w:color w:val="auto"/>
          <w:kern w:val="2"/>
          <w:sz w:val="32"/>
          <w:szCs w:val="32"/>
          <w:highlight w:val="none"/>
          <w:lang w:val="en-US" w:eastAsia="zh-CN" w:bidi="ar-SA"/>
        </w:rPr>
        <w:t>共有车辆</w:t>
      </w:r>
      <w:r>
        <w:rPr>
          <w:rFonts w:hint="default" w:ascii="Times New Roman" w:hAnsi="Times New Roman" w:eastAsia="仿宋_GB2312" w:cs="Times New Roman"/>
          <w:sz w:val="32"/>
          <w:szCs w:val="32"/>
        </w:rPr>
        <w:t>1</w:t>
      </w:r>
      <w:r>
        <w:rPr>
          <w:rFonts w:hint="default" w:ascii="Times New Roman" w:hAnsi="Times New Roman" w:eastAsia="仿宋_GB2312" w:cs="Times New Roman"/>
          <w:color w:val="auto"/>
          <w:kern w:val="2"/>
          <w:sz w:val="32"/>
          <w:szCs w:val="32"/>
          <w:highlight w:val="none"/>
          <w:lang w:val="en-US" w:eastAsia="zh-CN" w:bidi="ar-SA"/>
        </w:rPr>
        <w:t>辆，其中：主要负责人用车</w:t>
      </w:r>
      <w:r>
        <w:rPr>
          <w:rFonts w:hint="default" w:ascii="Times New Roman" w:hAnsi="Times New Roman" w:eastAsia="仿宋_GB2312" w:cs="Times New Roman"/>
          <w:sz w:val="32"/>
          <w:szCs w:val="32"/>
        </w:rPr>
        <w:t>0</w:t>
      </w:r>
      <w:r>
        <w:rPr>
          <w:rFonts w:hint="default" w:ascii="Times New Roman" w:hAnsi="Times New Roman" w:eastAsia="仿宋_GB2312" w:cs="Times New Roman"/>
          <w:color w:val="auto"/>
          <w:kern w:val="2"/>
          <w:sz w:val="32"/>
          <w:szCs w:val="32"/>
          <w:highlight w:val="none"/>
          <w:lang w:val="en-US" w:eastAsia="zh-CN" w:bidi="ar-SA"/>
        </w:rPr>
        <w:t>辆、机要通信用车</w:t>
      </w:r>
      <w:r>
        <w:rPr>
          <w:rFonts w:hint="default" w:ascii="Times New Roman" w:hAnsi="Times New Roman" w:eastAsia="仿宋_GB2312" w:cs="Times New Roman"/>
          <w:sz w:val="32"/>
          <w:szCs w:val="32"/>
        </w:rPr>
        <w:t>0</w:t>
      </w:r>
      <w:r>
        <w:rPr>
          <w:rFonts w:hint="default" w:ascii="Times New Roman" w:hAnsi="Times New Roman" w:eastAsia="仿宋_GB2312" w:cs="Times New Roman"/>
          <w:color w:val="auto"/>
          <w:kern w:val="2"/>
          <w:sz w:val="32"/>
          <w:szCs w:val="32"/>
          <w:highlight w:val="none"/>
          <w:lang w:val="en-US" w:eastAsia="zh-CN" w:bidi="ar-SA"/>
        </w:rPr>
        <w:t>辆、应急保障用车</w:t>
      </w:r>
      <w:r>
        <w:rPr>
          <w:rFonts w:hint="default" w:ascii="Times New Roman" w:hAnsi="Times New Roman" w:eastAsia="仿宋_GB2312" w:cs="Times New Roman"/>
          <w:sz w:val="32"/>
          <w:szCs w:val="32"/>
        </w:rPr>
        <w:t>0</w:t>
      </w:r>
      <w:r>
        <w:rPr>
          <w:rFonts w:hint="default" w:ascii="Times New Roman" w:hAnsi="Times New Roman" w:eastAsia="仿宋_GB2312" w:cs="Times New Roman"/>
          <w:color w:val="auto"/>
          <w:kern w:val="2"/>
          <w:sz w:val="32"/>
          <w:szCs w:val="32"/>
          <w:highlight w:val="none"/>
          <w:lang w:val="en-US" w:eastAsia="zh-CN" w:bidi="ar-SA"/>
        </w:rPr>
        <w:t>辆、其他用车</w:t>
      </w:r>
      <w:r>
        <w:rPr>
          <w:rFonts w:hint="default" w:ascii="Times New Roman" w:hAnsi="Times New Roman" w:eastAsia="仿宋_GB2312" w:cs="Times New Roman"/>
          <w:sz w:val="32"/>
          <w:szCs w:val="32"/>
          <w:lang w:val="en-US" w:eastAsia="zh-CN"/>
        </w:rPr>
        <w:t>1</w:t>
      </w:r>
      <w:r>
        <w:rPr>
          <w:rFonts w:hint="default" w:ascii="Times New Roman" w:hAnsi="Times New Roman" w:eastAsia="仿宋_GB2312" w:cs="Times New Roman"/>
          <w:color w:val="auto"/>
          <w:kern w:val="2"/>
          <w:sz w:val="32"/>
          <w:szCs w:val="32"/>
          <w:highlight w:val="none"/>
          <w:lang w:val="en-US" w:eastAsia="zh-CN" w:bidi="ar-SA"/>
        </w:rPr>
        <w:t>辆，</w:t>
      </w:r>
      <w:r>
        <w:rPr>
          <w:rFonts w:hint="default" w:ascii="Times New Roman" w:hAnsi="Times New Roman" w:eastAsia="仿宋_GB2312" w:cs="Times New Roman"/>
          <w:color w:val="auto"/>
          <w:sz w:val="32"/>
          <w:szCs w:val="32"/>
        </w:rPr>
        <w:t>其他用车主要是用于</w:t>
      </w:r>
      <w:r>
        <w:rPr>
          <w:rFonts w:hint="default" w:ascii="Times New Roman" w:hAnsi="Times New Roman" w:eastAsia="仿宋_GB2312" w:cs="Times New Roman"/>
          <w:color w:val="auto"/>
          <w:sz w:val="32"/>
          <w:szCs w:val="32"/>
          <w:lang w:eastAsia="zh-CN"/>
        </w:rPr>
        <w:t>工伤预防到</w:t>
      </w:r>
      <w:r>
        <w:rPr>
          <w:rFonts w:hint="default" w:ascii="Times New Roman" w:hAnsi="Times New Roman" w:eastAsia="仿宋_GB2312" w:cs="Times New Roman"/>
          <w:color w:val="auto"/>
          <w:sz w:val="32"/>
          <w:szCs w:val="32"/>
        </w:rPr>
        <w:t>厂矿、企业、医疗机构开展调查取证、现场勘验和常规急救等专业技术工作等。</w:t>
      </w:r>
      <w:r>
        <w:rPr>
          <w:rFonts w:hint="default" w:ascii="Times New Roman" w:hAnsi="Times New Roman" w:eastAsia="仿宋_GB2312" w:cs="Times New Roman"/>
          <w:color w:val="auto"/>
          <w:kern w:val="2"/>
          <w:sz w:val="32"/>
          <w:szCs w:val="32"/>
          <w:highlight w:val="none"/>
          <w:lang w:val="en-US" w:eastAsia="zh-CN" w:bidi="ar-SA"/>
        </w:rPr>
        <w:t>单价100万元（含）以上设备（不含车辆）</w:t>
      </w:r>
      <w:r>
        <w:rPr>
          <w:rFonts w:hint="default" w:ascii="Times New Roman" w:hAnsi="Times New Roman" w:eastAsia="仿宋_GB2312" w:cs="Times New Roman"/>
          <w:sz w:val="32"/>
          <w:szCs w:val="32"/>
        </w:rPr>
        <w:t>0</w:t>
      </w:r>
      <w:r>
        <w:rPr>
          <w:rFonts w:hint="default" w:ascii="Times New Roman" w:hAnsi="Times New Roman" w:eastAsia="仿宋_GB2312" w:cs="Times New Roman"/>
          <w:color w:val="auto"/>
          <w:kern w:val="2"/>
          <w:sz w:val="32"/>
          <w:szCs w:val="32"/>
          <w:highlight w:val="none"/>
          <w:lang w:val="en-US" w:eastAsia="zh-CN" w:bidi="ar-SA"/>
        </w:rPr>
        <w:t>台（套）。</w:t>
      </w:r>
    </w:p>
    <w:p w14:paraId="78BE6A17">
      <w:pPr>
        <w:keepNext w:val="0"/>
        <w:keepLines w:val="0"/>
        <w:pageBreakBefore w:val="0"/>
        <w:widowControl w:val="0"/>
        <w:kinsoku/>
        <w:wordWrap/>
        <w:overflowPunct/>
        <w:topLinePunct w:val="0"/>
        <w:autoSpaceDE/>
        <w:autoSpaceDN/>
        <w:bidi w:val="0"/>
        <w:spacing w:line="600" w:lineRule="exact"/>
        <w:ind w:firstLine="640" w:firstLineChars="200"/>
        <w:textAlignment w:val="auto"/>
        <w:outlineLvl w:val="2"/>
        <w:rPr>
          <w:rFonts w:hint="default" w:ascii="Times New Roman" w:hAnsi="Times New Roman" w:eastAsia="楷体_GB2312" w:cs="Times New Roman"/>
          <w:b/>
          <w:color w:val="auto"/>
          <w:sz w:val="32"/>
          <w:szCs w:val="32"/>
          <w:highlight w:val="none"/>
        </w:rPr>
      </w:pPr>
      <w:r>
        <w:rPr>
          <w:rFonts w:hint="default" w:ascii="Times New Roman" w:hAnsi="Times New Roman" w:eastAsia="楷体_GB2312" w:cs="Times New Roman"/>
          <w:b/>
          <w:color w:val="auto"/>
          <w:sz w:val="32"/>
          <w:szCs w:val="32"/>
          <w:highlight w:val="none"/>
        </w:rPr>
        <w:t>（四）预算绩效管理情况</w:t>
      </w:r>
    </w:p>
    <w:p w14:paraId="13E7CAAD">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color w:val="auto"/>
          <w:kern w:val="2"/>
          <w:sz w:val="32"/>
          <w:szCs w:val="32"/>
          <w:highlight w:val="none"/>
          <w:lang w:val="en-US" w:eastAsia="zh-CN" w:bidi="ar-SA"/>
        </w:rPr>
      </w:pPr>
      <w:r>
        <w:rPr>
          <w:rFonts w:hint="default" w:ascii="Times New Roman" w:hAnsi="Times New Roman" w:eastAsia="仿宋_GB2312" w:cs="Times New Roman"/>
          <w:color w:val="auto"/>
          <w:kern w:val="2"/>
          <w:sz w:val="32"/>
          <w:szCs w:val="32"/>
          <w:highlight w:val="none"/>
          <w:lang w:val="en-US" w:eastAsia="zh-CN" w:bidi="ar-SA"/>
        </w:rPr>
        <w:t>根据预算绩效管理要求，</w:t>
      </w:r>
      <w:r>
        <w:rPr>
          <w:rFonts w:hint="default" w:ascii="Times New Roman" w:hAnsi="Times New Roman" w:eastAsia="仿宋_GB2312" w:cs="Times New Roman"/>
          <w:sz w:val="32"/>
          <w:szCs w:val="32"/>
        </w:rPr>
        <w:t>四川省攀枝花市社会保险事务中心</w:t>
      </w:r>
      <w:r>
        <w:rPr>
          <w:rFonts w:hint="default" w:ascii="Times New Roman" w:hAnsi="Times New Roman" w:eastAsia="仿宋_GB2312" w:cs="Times New Roman"/>
          <w:color w:val="auto"/>
          <w:kern w:val="2"/>
          <w:sz w:val="32"/>
          <w:szCs w:val="32"/>
          <w:highlight w:val="none"/>
          <w:lang w:val="en-US" w:eastAsia="zh-CN" w:bidi="ar-SA"/>
        </w:rPr>
        <w:t>在2024年度预算编制阶段，组织对“入驻政务中心单位租金、物业费及水电费”项目开展了预算事前绩效评估，对1个项目编制了绩效目标</w:t>
      </w:r>
      <w:r>
        <w:rPr>
          <w:rFonts w:hint="eastAsia" w:ascii="Times New Roman" w:hAnsi="Times New Roman" w:eastAsia="仿宋_GB2312" w:cs="Times New Roman"/>
          <w:color w:val="auto"/>
          <w:kern w:val="2"/>
          <w:sz w:val="32"/>
          <w:szCs w:val="32"/>
          <w:highlight w:val="none"/>
          <w:lang w:val="en-US" w:eastAsia="zh-CN" w:bidi="ar-SA"/>
        </w:rPr>
        <w:t>，</w:t>
      </w:r>
      <w:r>
        <w:rPr>
          <w:rFonts w:hint="default" w:ascii="Times New Roman" w:hAnsi="Times New Roman" w:eastAsia="仿宋_GB2312" w:cs="Times New Roman"/>
          <w:color w:val="auto"/>
          <w:kern w:val="2"/>
          <w:sz w:val="32"/>
          <w:szCs w:val="32"/>
          <w:highlight w:val="none"/>
          <w:lang w:val="en-US" w:eastAsia="zh-CN" w:bidi="ar-SA"/>
        </w:rPr>
        <w:t>预算执行过程中，追加“社保公共服务能力建设资金”项目，选取2个项目开展绩效监控。</w:t>
      </w:r>
    </w:p>
    <w:p w14:paraId="42776B41">
      <w:pPr>
        <w:keepNext w:val="0"/>
        <w:keepLines w:val="0"/>
        <w:pageBreakBefore w:val="0"/>
        <w:widowControl w:val="0"/>
        <w:kinsoku/>
        <w:wordWrap/>
        <w:overflowPunct/>
        <w:topLinePunct w:val="0"/>
        <w:autoSpaceDE/>
        <w:autoSpaceDN/>
        <w:bidi w:val="0"/>
        <w:adjustRightInd w:val="0"/>
        <w:snapToGrid w:val="0"/>
        <w:spacing w:line="600" w:lineRule="exact"/>
        <w:ind w:firstLine="720"/>
        <w:textAlignment w:val="auto"/>
        <w:rPr>
          <w:rFonts w:hint="default" w:ascii="Times New Roman" w:hAnsi="Times New Roman" w:eastAsia="仿宋_GB2312" w:cs="Times New Roman"/>
          <w:color w:val="auto"/>
          <w:kern w:val="2"/>
          <w:sz w:val="32"/>
          <w:szCs w:val="32"/>
          <w:highlight w:val="none"/>
          <w:lang w:val="en-US" w:eastAsia="zh-CN" w:bidi="ar-SA"/>
        </w:rPr>
      </w:pPr>
      <w:r>
        <w:rPr>
          <w:rFonts w:hint="default" w:ascii="Times New Roman" w:hAnsi="Times New Roman" w:eastAsia="仿宋_GB2312" w:cs="Times New Roman"/>
          <w:color w:val="auto"/>
          <w:kern w:val="2"/>
          <w:sz w:val="32"/>
          <w:szCs w:val="32"/>
          <w:highlight w:val="none"/>
          <w:lang w:val="en-US" w:eastAsia="zh-CN" w:bidi="ar-SA"/>
        </w:rPr>
        <w:t>组织对2024年度一般公共预算、政府性基金预算、国有资本经营预算、社会保险基金预算以及资本资产、债券资金等全面开展绩效自评，形成</w:t>
      </w:r>
      <w:r>
        <w:rPr>
          <w:rFonts w:hint="default" w:ascii="Times New Roman" w:hAnsi="Times New Roman" w:eastAsia="仿宋_GB2312" w:cs="Times New Roman"/>
          <w:sz w:val="32"/>
          <w:szCs w:val="32"/>
        </w:rPr>
        <w:t>四川省攀枝花市社会保险事务中心</w:t>
      </w:r>
      <w:r>
        <w:rPr>
          <w:rFonts w:hint="default" w:ascii="Times New Roman" w:hAnsi="Times New Roman" w:eastAsia="仿宋_GB2312" w:cs="Times New Roman"/>
          <w:color w:val="auto"/>
          <w:kern w:val="2"/>
          <w:sz w:val="32"/>
          <w:szCs w:val="32"/>
          <w:highlight w:val="none"/>
          <w:lang w:val="en-US" w:eastAsia="zh-CN" w:bidi="ar-SA"/>
        </w:rPr>
        <w:t>部门整体绩效自评报告、“入驻政务中心单位租金、物业费及水电费”等专项预算项目绩效自评报告，其中，</w:t>
      </w:r>
      <w:r>
        <w:rPr>
          <w:rFonts w:hint="default" w:ascii="Times New Roman" w:hAnsi="Times New Roman" w:eastAsia="仿宋_GB2312" w:cs="Times New Roman"/>
          <w:sz w:val="32"/>
          <w:szCs w:val="32"/>
        </w:rPr>
        <w:t>四川省攀枝花市社会保险事务中心</w:t>
      </w:r>
      <w:r>
        <w:rPr>
          <w:rFonts w:hint="default" w:ascii="Times New Roman" w:hAnsi="Times New Roman" w:eastAsia="仿宋_GB2312" w:cs="Times New Roman"/>
          <w:color w:val="auto"/>
          <w:kern w:val="2"/>
          <w:sz w:val="32"/>
          <w:szCs w:val="32"/>
          <w:highlight w:val="none"/>
          <w:lang w:val="en-US" w:eastAsia="zh-CN" w:bidi="ar-SA"/>
        </w:rPr>
        <w:t>部门整体绩效自评得分为99.77分，绩效自评综述：</w:t>
      </w:r>
      <w:r>
        <w:rPr>
          <w:rFonts w:hint="default" w:ascii="Times New Roman" w:hAnsi="Times New Roman" w:eastAsia="仿宋_GB2312" w:cs="Times New Roman"/>
          <w:sz w:val="32"/>
          <w:szCs w:val="32"/>
        </w:rPr>
        <w:t>四川省攀枝花市社会保险事务中心着力推进社保改革任务落地落实、公共服务提质增效、运行管理提档升级、严防风险确保基金安全，推动全市社保经办事业高质量、可持续发展。扎实开展社保经办工作，不断提升人民群众获得感、幸</w:t>
      </w:r>
      <w:r>
        <w:rPr>
          <w:rFonts w:hint="default" w:ascii="Times New Roman" w:hAnsi="Times New Roman" w:eastAsia="仿宋_GB2312" w:cs="Times New Roman"/>
          <w:color w:val="auto"/>
          <w:kern w:val="2"/>
          <w:sz w:val="32"/>
          <w:szCs w:val="32"/>
          <w:highlight w:val="none"/>
          <w:lang w:val="en-US" w:eastAsia="zh-CN" w:bidi="ar-SA"/>
        </w:rPr>
        <w:t>福感和安全感，各项工作成效显著。继续确保各项社会保险待遇的按时足额发放和支付，维护参保人员合法权益，调整增加各类退休人员基本养老金，积极完善工伤保险信息系统功能，做好工伤保险预防工作，全面完成年初预算绩效目标及省级下达的目标任务。“入驻政务中心单位租金、物业费及水电费”专项预算项目绩效自评得分为100分，绩效自评综述：保障了单位正常运转，能更</w:t>
      </w:r>
      <w:r>
        <w:rPr>
          <w:rFonts w:hint="eastAsia" w:ascii="Times New Roman" w:hAnsi="Times New Roman" w:eastAsia="仿宋_GB2312" w:cs="Times New Roman"/>
          <w:color w:val="auto"/>
          <w:kern w:val="2"/>
          <w:sz w:val="32"/>
          <w:szCs w:val="32"/>
          <w:highlight w:val="none"/>
          <w:lang w:val="en-US" w:eastAsia="zh-CN" w:bidi="ar-SA"/>
        </w:rPr>
        <w:t>好</w:t>
      </w:r>
      <w:r>
        <w:rPr>
          <w:rFonts w:hint="default" w:ascii="Times New Roman" w:hAnsi="Times New Roman" w:eastAsia="仿宋_GB2312" w:cs="Times New Roman"/>
          <w:color w:val="auto"/>
          <w:kern w:val="2"/>
          <w:sz w:val="32"/>
          <w:szCs w:val="32"/>
          <w:highlight w:val="none"/>
          <w:lang w:val="en-US" w:eastAsia="zh-CN" w:bidi="ar-SA"/>
        </w:rPr>
        <w:t>的为参保人员提供社保服务。绩效自评报告详见附件。</w:t>
      </w:r>
    </w:p>
    <w:p w14:paraId="40544540">
      <w:pPr>
        <w:keepNext w:val="0"/>
        <w:keepLines w:val="0"/>
        <w:pageBreakBefore w:val="0"/>
        <w:widowControl w:val="0"/>
        <w:kinsoku/>
        <w:wordWrap/>
        <w:overflowPunct/>
        <w:topLinePunct w:val="0"/>
        <w:autoSpaceDE/>
        <w:autoSpaceDN/>
        <w:bidi w:val="0"/>
        <w:spacing w:line="600" w:lineRule="exact"/>
        <w:ind w:firstLine="640"/>
        <w:textAlignment w:val="auto"/>
        <w:rPr>
          <w:rFonts w:hint="default" w:ascii="Times New Roman" w:hAnsi="Times New Roman" w:eastAsia="仿宋_GB2312" w:cs="Times New Roman"/>
          <w:color w:val="auto"/>
          <w:kern w:val="2"/>
          <w:sz w:val="32"/>
          <w:szCs w:val="32"/>
          <w:highlight w:val="none"/>
          <w:lang w:val="en-US" w:eastAsia="zh-CN" w:bidi="ar-SA"/>
        </w:rPr>
      </w:pPr>
    </w:p>
    <w:p w14:paraId="4B4F11E7">
      <w:pPr>
        <w:keepNext w:val="0"/>
        <w:keepLines w:val="0"/>
        <w:pageBreakBefore w:val="0"/>
        <w:widowControl w:val="0"/>
        <w:kinsoku/>
        <w:wordWrap/>
        <w:overflowPunct/>
        <w:topLinePunct w:val="0"/>
        <w:autoSpaceDE/>
        <w:autoSpaceDN/>
        <w:bidi w:val="0"/>
        <w:spacing w:line="600" w:lineRule="exact"/>
        <w:ind w:firstLine="640"/>
        <w:textAlignment w:val="auto"/>
        <w:rPr>
          <w:rFonts w:hint="default" w:ascii="Times New Roman" w:hAnsi="Times New Roman" w:eastAsia="仿宋_GB2312" w:cs="Times New Roman"/>
          <w:color w:val="auto"/>
          <w:kern w:val="2"/>
          <w:sz w:val="32"/>
          <w:szCs w:val="32"/>
          <w:highlight w:val="none"/>
          <w:lang w:val="en-US" w:eastAsia="zh-CN" w:bidi="ar-SA"/>
        </w:rPr>
      </w:pPr>
    </w:p>
    <w:p w14:paraId="3D1ACA36">
      <w:pPr>
        <w:keepNext w:val="0"/>
        <w:keepLines w:val="0"/>
        <w:pageBreakBefore w:val="0"/>
        <w:widowControl w:val="0"/>
        <w:kinsoku/>
        <w:wordWrap/>
        <w:overflowPunct/>
        <w:topLinePunct w:val="0"/>
        <w:autoSpaceDE/>
        <w:autoSpaceDN/>
        <w:bidi w:val="0"/>
        <w:spacing w:line="600" w:lineRule="exact"/>
        <w:ind w:firstLine="640"/>
        <w:textAlignment w:val="auto"/>
        <w:rPr>
          <w:rFonts w:hint="default" w:ascii="Times New Roman" w:hAnsi="Times New Roman" w:eastAsia="仿宋_GB2312" w:cs="Times New Roman"/>
          <w:color w:val="auto"/>
          <w:kern w:val="2"/>
          <w:sz w:val="32"/>
          <w:szCs w:val="32"/>
          <w:highlight w:val="none"/>
          <w:lang w:val="en-US" w:eastAsia="zh-CN" w:bidi="ar-SA"/>
        </w:rPr>
      </w:pPr>
    </w:p>
    <w:p w14:paraId="099033EB">
      <w:pPr>
        <w:spacing w:line="600" w:lineRule="exact"/>
        <w:ind w:firstLine="640"/>
        <w:rPr>
          <w:rFonts w:hint="default" w:ascii="Times New Roman" w:hAnsi="Times New Roman" w:eastAsia="仿宋_GB2312" w:cs="Times New Roman"/>
          <w:color w:val="auto"/>
          <w:kern w:val="2"/>
          <w:sz w:val="32"/>
          <w:szCs w:val="32"/>
          <w:highlight w:val="none"/>
          <w:lang w:val="en-US" w:eastAsia="zh-CN" w:bidi="ar-SA"/>
        </w:rPr>
      </w:pPr>
    </w:p>
    <w:p w14:paraId="168548B6">
      <w:pPr>
        <w:spacing w:line="600" w:lineRule="exact"/>
        <w:ind w:firstLine="640"/>
        <w:rPr>
          <w:rFonts w:hint="default" w:ascii="Times New Roman" w:hAnsi="Times New Roman" w:eastAsia="仿宋_GB2312" w:cs="Times New Roman"/>
          <w:color w:val="auto"/>
          <w:kern w:val="2"/>
          <w:sz w:val="32"/>
          <w:szCs w:val="32"/>
          <w:highlight w:val="none"/>
          <w:lang w:val="en-US" w:eastAsia="zh-CN" w:bidi="ar-SA"/>
        </w:rPr>
      </w:pPr>
    </w:p>
    <w:p w14:paraId="5DDB9890">
      <w:pPr>
        <w:spacing w:line="600" w:lineRule="exact"/>
        <w:ind w:firstLine="640"/>
        <w:rPr>
          <w:rFonts w:hint="default" w:ascii="Times New Roman" w:hAnsi="Times New Roman" w:eastAsia="仿宋_GB2312" w:cs="Times New Roman"/>
          <w:color w:val="auto"/>
          <w:kern w:val="2"/>
          <w:sz w:val="32"/>
          <w:szCs w:val="32"/>
          <w:highlight w:val="none"/>
          <w:lang w:val="en-US" w:eastAsia="zh-CN" w:bidi="ar-SA"/>
        </w:rPr>
      </w:pPr>
    </w:p>
    <w:p w14:paraId="125429F3">
      <w:pPr>
        <w:spacing w:line="600" w:lineRule="exact"/>
        <w:ind w:firstLine="640"/>
        <w:rPr>
          <w:rFonts w:hint="default" w:ascii="Times New Roman" w:hAnsi="Times New Roman" w:eastAsia="仿宋_GB2312" w:cs="Times New Roman"/>
          <w:color w:val="auto"/>
          <w:kern w:val="2"/>
          <w:sz w:val="32"/>
          <w:szCs w:val="32"/>
          <w:highlight w:val="none"/>
          <w:lang w:val="en-US" w:eastAsia="zh-CN" w:bidi="ar-SA"/>
        </w:rPr>
      </w:pPr>
    </w:p>
    <w:p w14:paraId="66F5A33B">
      <w:pPr>
        <w:spacing w:line="600" w:lineRule="exact"/>
        <w:ind w:firstLine="640"/>
        <w:rPr>
          <w:rFonts w:hint="default" w:ascii="Times New Roman" w:hAnsi="Times New Roman" w:eastAsia="仿宋_GB2312" w:cs="Times New Roman"/>
          <w:color w:val="auto"/>
          <w:kern w:val="2"/>
          <w:sz w:val="32"/>
          <w:szCs w:val="32"/>
          <w:highlight w:val="none"/>
          <w:lang w:val="en-US" w:eastAsia="zh-CN" w:bidi="ar-SA"/>
        </w:rPr>
      </w:pPr>
    </w:p>
    <w:p w14:paraId="0EB2FA66">
      <w:pPr>
        <w:spacing w:line="600" w:lineRule="exact"/>
        <w:ind w:firstLine="640"/>
        <w:rPr>
          <w:rFonts w:hint="default" w:ascii="Times New Roman" w:hAnsi="Times New Roman" w:eastAsia="仿宋_GB2312" w:cs="Times New Roman"/>
          <w:color w:val="auto"/>
          <w:kern w:val="2"/>
          <w:sz w:val="32"/>
          <w:szCs w:val="32"/>
          <w:highlight w:val="none"/>
          <w:lang w:val="en-US" w:eastAsia="zh-CN" w:bidi="ar-SA"/>
        </w:rPr>
      </w:pPr>
    </w:p>
    <w:p w14:paraId="0F4FB253">
      <w:pPr>
        <w:spacing w:line="600" w:lineRule="exact"/>
        <w:ind w:firstLine="640"/>
        <w:rPr>
          <w:rFonts w:hint="default" w:ascii="Times New Roman" w:hAnsi="Times New Roman" w:eastAsia="仿宋_GB2312" w:cs="Times New Roman"/>
          <w:color w:val="auto"/>
          <w:kern w:val="2"/>
          <w:sz w:val="32"/>
          <w:szCs w:val="32"/>
          <w:highlight w:val="none"/>
          <w:lang w:val="en-US" w:eastAsia="zh-CN" w:bidi="ar-SA"/>
        </w:rPr>
      </w:pPr>
    </w:p>
    <w:p w14:paraId="12D85FDC">
      <w:pPr>
        <w:spacing w:line="600" w:lineRule="exact"/>
        <w:ind w:firstLine="640"/>
        <w:rPr>
          <w:rFonts w:hint="default" w:ascii="Times New Roman" w:hAnsi="Times New Roman" w:eastAsia="仿宋_GB2312" w:cs="Times New Roman"/>
          <w:color w:val="auto"/>
          <w:kern w:val="2"/>
          <w:sz w:val="32"/>
          <w:szCs w:val="32"/>
          <w:highlight w:val="none"/>
          <w:lang w:val="en-US" w:eastAsia="zh-CN" w:bidi="ar-SA"/>
        </w:rPr>
      </w:pPr>
    </w:p>
    <w:p w14:paraId="3C289065">
      <w:pPr>
        <w:spacing w:line="600" w:lineRule="exact"/>
        <w:ind w:firstLine="640"/>
        <w:rPr>
          <w:rFonts w:hint="default" w:ascii="Times New Roman" w:hAnsi="Times New Roman" w:eastAsia="仿宋_GB2312" w:cs="Times New Roman"/>
          <w:color w:val="auto"/>
          <w:kern w:val="2"/>
          <w:sz w:val="32"/>
          <w:szCs w:val="32"/>
          <w:highlight w:val="none"/>
          <w:lang w:val="en-US" w:eastAsia="zh-CN" w:bidi="ar-SA"/>
        </w:rPr>
      </w:pPr>
    </w:p>
    <w:p w14:paraId="4C9AF6F4">
      <w:pPr>
        <w:spacing w:line="600" w:lineRule="exact"/>
        <w:ind w:firstLine="640"/>
        <w:rPr>
          <w:rFonts w:hint="default" w:ascii="Times New Roman" w:hAnsi="Times New Roman" w:eastAsia="仿宋_GB2312" w:cs="Times New Roman"/>
          <w:color w:val="auto"/>
          <w:kern w:val="2"/>
          <w:sz w:val="32"/>
          <w:szCs w:val="32"/>
          <w:highlight w:val="none"/>
          <w:lang w:val="en-US" w:eastAsia="zh-CN" w:bidi="ar-SA"/>
        </w:rPr>
      </w:pPr>
    </w:p>
    <w:p w14:paraId="635F9F6C">
      <w:pPr>
        <w:spacing w:line="600" w:lineRule="exact"/>
        <w:ind w:firstLine="640"/>
        <w:rPr>
          <w:rFonts w:hint="default" w:ascii="Times New Roman" w:hAnsi="Times New Roman" w:eastAsia="仿宋_GB2312" w:cs="Times New Roman"/>
          <w:color w:val="auto"/>
          <w:kern w:val="2"/>
          <w:sz w:val="32"/>
          <w:szCs w:val="32"/>
          <w:highlight w:val="none"/>
          <w:lang w:val="en-US" w:eastAsia="zh-CN" w:bidi="ar-SA"/>
        </w:rPr>
      </w:pPr>
    </w:p>
    <w:p w14:paraId="28CC2B92">
      <w:pPr>
        <w:spacing w:line="600" w:lineRule="exact"/>
        <w:ind w:firstLine="640"/>
        <w:rPr>
          <w:rFonts w:hint="default" w:ascii="Times New Roman" w:hAnsi="Times New Roman" w:eastAsia="仿宋_GB2312" w:cs="Times New Roman"/>
          <w:color w:val="auto"/>
          <w:kern w:val="2"/>
          <w:sz w:val="32"/>
          <w:szCs w:val="32"/>
          <w:highlight w:val="none"/>
          <w:lang w:val="en-US" w:eastAsia="zh-CN" w:bidi="ar-SA"/>
        </w:rPr>
      </w:pPr>
    </w:p>
    <w:p w14:paraId="15692CCC">
      <w:pPr>
        <w:spacing w:line="600" w:lineRule="exact"/>
        <w:ind w:firstLine="640"/>
        <w:rPr>
          <w:rFonts w:hint="default" w:ascii="Times New Roman" w:hAnsi="Times New Roman" w:eastAsia="仿宋_GB2312" w:cs="Times New Roman"/>
          <w:color w:val="auto"/>
          <w:kern w:val="2"/>
          <w:sz w:val="32"/>
          <w:szCs w:val="32"/>
          <w:highlight w:val="none"/>
          <w:lang w:val="en-US" w:eastAsia="zh-CN" w:bidi="ar-SA"/>
        </w:rPr>
      </w:pPr>
    </w:p>
    <w:p w14:paraId="201A9C1D">
      <w:pPr>
        <w:spacing w:line="600" w:lineRule="exact"/>
        <w:ind w:firstLine="640"/>
        <w:rPr>
          <w:rFonts w:hint="default" w:ascii="Times New Roman" w:hAnsi="Times New Roman" w:eastAsia="仿宋_GB2312" w:cs="Times New Roman"/>
          <w:color w:val="auto"/>
          <w:kern w:val="2"/>
          <w:sz w:val="32"/>
          <w:szCs w:val="32"/>
          <w:highlight w:val="none"/>
          <w:lang w:val="en-US" w:eastAsia="zh-CN" w:bidi="ar-SA"/>
        </w:rPr>
      </w:pPr>
    </w:p>
    <w:p w14:paraId="24FCC333">
      <w:pPr>
        <w:numPr>
          <w:ilvl w:val="0"/>
          <w:numId w:val="0"/>
        </w:numPr>
        <w:spacing w:line="600" w:lineRule="exact"/>
        <w:jc w:val="center"/>
        <w:outlineLvl w:val="0"/>
        <w:rPr>
          <w:rFonts w:hint="eastAsia" w:ascii="方正小标宋_GBK" w:hAnsi="方正小标宋_GBK" w:eastAsia="方正小标宋_GBK" w:cs="方正小标宋_GBK"/>
          <w:color w:val="auto"/>
          <w:sz w:val="44"/>
          <w:szCs w:val="44"/>
          <w:highlight w:val="none"/>
        </w:rPr>
      </w:pPr>
      <w:bookmarkStart w:id="49" w:name="_Toc15377225"/>
      <w:bookmarkStart w:id="50" w:name="_Toc15396613"/>
      <w:r>
        <w:rPr>
          <w:rFonts w:hint="eastAsia" w:ascii="方正小标宋_GBK" w:hAnsi="方正小标宋_GBK" w:eastAsia="方正小标宋_GBK" w:cs="方正小标宋_GBK"/>
          <w:color w:val="auto"/>
          <w:sz w:val="44"/>
          <w:szCs w:val="44"/>
          <w:highlight w:val="none"/>
        </w:rPr>
        <w:t>第</w:t>
      </w:r>
      <w:r>
        <w:rPr>
          <w:rFonts w:hint="eastAsia" w:ascii="方正小标宋_GBK" w:hAnsi="方正小标宋_GBK" w:eastAsia="方正小标宋_GBK" w:cs="方正小标宋_GBK"/>
          <w:color w:val="auto"/>
          <w:sz w:val="44"/>
          <w:szCs w:val="44"/>
          <w:highlight w:val="none"/>
          <w:lang w:eastAsia="zh-CN"/>
        </w:rPr>
        <w:t>三</w:t>
      </w:r>
      <w:r>
        <w:rPr>
          <w:rFonts w:hint="eastAsia" w:ascii="方正小标宋_GBK" w:hAnsi="方正小标宋_GBK" w:eastAsia="方正小标宋_GBK" w:cs="方正小标宋_GBK"/>
          <w:color w:val="auto"/>
          <w:sz w:val="44"/>
          <w:szCs w:val="44"/>
          <w:highlight w:val="none"/>
        </w:rPr>
        <w:t>部分</w:t>
      </w:r>
      <w:r>
        <w:rPr>
          <w:rFonts w:hint="eastAsia" w:ascii="方正小标宋_GBK" w:hAnsi="方正小标宋_GBK" w:eastAsia="方正小标宋_GBK" w:cs="方正小标宋_GBK"/>
          <w:color w:val="auto"/>
          <w:sz w:val="44"/>
          <w:szCs w:val="44"/>
          <w:highlight w:val="none"/>
          <w:lang w:val="en-US" w:eastAsia="zh-CN"/>
        </w:rPr>
        <w:t xml:space="preserve">  </w:t>
      </w:r>
      <w:r>
        <w:rPr>
          <w:rFonts w:hint="eastAsia" w:ascii="方正小标宋_GBK" w:hAnsi="方正小标宋_GBK" w:eastAsia="方正小标宋_GBK" w:cs="方正小标宋_GBK"/>
          <w:color w:val="auto"/>
          <w:sz w:val="44"/>
          <w:szCs w:val="44"/>
          <w:highlight w:val="none"/>
        </w:rPr>
        <w:t>名词解释</w:t>
      </w:r>
      <w:bookmarkEnd w:id="49"/>
      <w:bookmarkEnd w:id="50"/>
    </w:p>
    <w:p w14:paraId="2735217F">
      <w:pPr>
        <w:spacing w:line="600" w:lineRule="exact"/>
        <w:jc w:val="left"/>
        <w:rPr>
          <w:rFonts w:hint="default" w:ascii="Times New Roman" w:hAnsi="Times New Roman" w:cs="Times New Roman"/>
          <w:b/>
          <w:color w:val="auto"/>
          <w:sz w:val="44"/>
          <w:szCs w:val="44"/>
          <w:highlight w:val="none"/>
        </w:rPr>
      </w:pPr>
    </w:p>
    <w:p w14:paraId="0C05FAA7">
      <w:pPr>
        <w:pStyle w:val="29"/>
        <w:pageBreakBefore w:val="0"/>
        <w:kinsoku/>
        <w:wordWrap/>
        <w:overflowPunct/>
        <w:topLinePunct w:val="0"/>
        <w:bidi w:val="0"/>
        <w:spacing w:line="56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1.财政拨款收入：指单位从同级财政部门取得的财政预算资金。</w:t>
      </w:r>
    </w:p>
    <w:p w14:paraId="60931F37">
      <w:pPr>
        <w:pStyle w:val="29"/>
        <w:pageBreakBefore w:val="0"/>
        <w:kinsoku/>
        <w:wordWrap/>
        <w:overflowPunct/>
        <w:topLinePunct w:val="0"/>
        <w:bidi w:val="0"/>
        <w:spacing w:line="56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2.事业收入：指事业单位开展专业业务活动及辅助活动取得的收入。</w:t>
      </w:r>
    </w:p>
    <w:p w14:paraId="2D929865">
      <w:pPr>
        <w:pStyle w:val="29"/>
        <w:pageBreakBefore w:val="0"/>
        <w:kinsoku/>
        <w:wordWrap/>
        <w:overflowPunct/>
        <w:topLinePunct w:val="0"/>
        <w:bidi w:val="0"/>
        <w:spacing w:line="56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3.经营收入：指事业单位在专业业务活动及其辅助活动之外开展非独立核算经营活动取得的收入。</w:t>
      </w:r>
    </w:p>
    <w:p w14:paraId="74FAE35B">
      <w:pPr>
        <w:pStyle w:val="29"/>
        <w:spacing w:line="56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 xml:space="preserve">4.其他收入：指单位取得的除上述收入以外的各项收入。主要是自有资金账户利息收入（收入类型）等。 </w:t>
      </w:r>
    </w:p>
    <w:p w14:paraId="14089D05">
      <w:pPr>
        <w:pStyle w:val="29"/>
        <w:pageBreakBefore w:val="0"/>
        <w:kinsoku/>
        <w:wordWrap/>
        <w:overflowPunct/>
        <w:topLinePunct w:val="0"/>
        <w:bidi w:val="0"/>
        <w:spacing w:line="56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 xml:space="preserve">5.使用非财政拨款结余：指事业单位使用以前年度积累的非财政拨款结余弥补当年收支差额的金额。 </w:t>
      </w:r>
    </w:p>
    <w:p w14:paraId="51EB6221">
      <w:pPr>
        <w:pStyle w:val="29"/>
        <w:pageBreakBefore w:val="0"/>
        <w:kinsoku/>
        <w:wordWrap/>
        <w:overflowPunct/>
        <w:topLinePunct w:val="0"/>
        <w:bidi w:val="0"/>
        <w:spacing w:line="56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 xml:space="preserve">6.年初结转和结余：指以前年度尚未完成、结转到本年按有关规定继续使用的资金。 </w:t>
      </w:r>
    </w:p>
    <w:p w14:paraId="4B3FB05A">
      <w:pPr>
        <w:pStyle w:val="29"/>
        <w:pageBreakBefore w:val="0"/>
        <w:kinsoku/>
        <w:wordWrap/>
        <w:overflowPunct/>
        <w:topLinePunct w:val="0"/>
        <w:bidi w:val="0"/>
        <w:spacing w:line="56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7.结余分配：指事业单位按照会计制度规定缴纳的所得税、提取的专用结余以及转入非财政拨款结余的金额等。</w:t>
      </w:r>
    </w:p>
    <w:p w14:paraId="48BAE2DE">
      <w:pPr>
        <w:pStyle w:val="29"/>
        <w:pageBreakBefore w:val="0"/>
        <w:kinsoku/>
        <w:wordWrap/>
        <w:overflowPunct/>
        <w:topLinePunct w:val="0"/>
        <w:bidi w:val="0"/>
        <w:spacing w:line="56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8</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年末结转和结余：指单位按有关规定结转到下年或以后年度继续使用的资金。</w:t>
      </w:r>
    </w:p>
    <w:p w14:paraId="3B889096">
      <w:pPr>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9.社会保障和就业支出（类）人力资源和社会保障管理事务（款）行政运行（项）：指行政单位的基本支出。</w:t>
      </w:r>
    </w:p>
    <w:p w14:paraId="74136322">
      <w:pPr>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10.住房保障支出（类）住房改革支出（款）住房公积金（项）：指行政事业单位按人力资源和社会保障部、财政部规定的基本工资和津贴补贴以及规定比例为职工缴纳的住房公积金。</w:t>
      </w:r>
    </w:p>
    <w:p w14:paraId="7C18D82E">
      <w:pPr>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11.社会保障和就业（类）人力资源和社会保障管理事务（款）社会保险经办机构（项）：指社会保险经办机构开展业务工作的支出。</w:t>
      </w:r>
    </w:p>
    <w:p w14:paraId="3601EAE9">
      <w:pPr>
        <w:spacing w:line="600" w:lineRule="exact"/>
        <w:ind w:firstLine="64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1</w:t>
      </w:r>
      <w:r>
        <w:rPr>
          <w:rFonts w:hint="default" w:ascii="Times New Roman" w:hAnsi="Times New Roman" w:eastAsia="仿宋_GB2312" w:cs="Times New Roman"/>
          <w:color w:val="auto"/>
          <w:sz w:val="32"/>
          <w:szCs w:val="32"/>
          <w:lang w:val="en-US" w:eastAsia="zh-CN"/>
        </w:rPr>
        <w:t>2</w:t>
      </w:r>
      <w:r>
        <w:rPr>
          <w:rFonts w:hint="default" w:ascii="Times New Roman" w:hAnsi="Times New Roman" w:eastAsia="仿宋_GB2312" w:cs="Times New Roman"/>
          <w:color w:val="auto"/>
          <w:sz w:val="32"/>
          <w:szCs w:val="32"/>
        </w:rPr>
        <w:t>.社会保障和就业支出（类）行政事业单位</w:t>
      </w:r>
      <w:r>
        <w:rPr>
          <w:rFonts w:hint="default" w:ascii="Times New Roman" w:hAnsi="Times New Roman" w:eastAsia="仿宋_GB2312" w:cs="Times New Roman"/>
          <w:color w:val="auto"/>
          <w:sz w:val="32"/>
          <w:szCs w:val="32"/>
          <w:lang w:eastAsia="zh-CN"/>
        </w:rPr>
        <w:t>养老支出</w:t>
      </w:r>
      <w:r>
        <w:rPr>
          <w:rFonts w:hint="default" w:ascii="Times New Roman" w:hAnsi="Times New Roman" w:eastAsia="仿宋_GB2312" w:cs="Times New Roman"/>
          <w:color w:val="auto"/>
          <w:sz w:val="32"/>
          <w:szCs w:val="32"/>
        </w:rPr>
        <w:t>（款）行政单位离退休（项）：指行政单位</w:t>
      </w:r>
      <w:r>
        <w:rPr>
          <w:rFonts w:hint="default" w:ascii="Times New Roman" w:hAnsi="Times New Roman" w:eastAsia="仿宋_GB2312" w:cs="Times New Roman"/>
          <w:color w:val="auto"/>
          <w:sz w:val="32"/>
          <w:szCs w:val="32"/>
          <w:lang w:eastAsia="zh-CN"/>
        </w:rPr>
        <w:t>（包括实行公务员管理的事业单位）</w:t>
      </w:r>
      <w:r>
        <w:rPr>
          <w:rFonts w:hint="default" w:ascii="Times New Roman" w:hAnsi="Times New Roman" w:eastAsia="仿宋_GB2312" w:cs="Times New Roman"/>
          <w:color w:val="auto"/>
          <w:sz w:val="32"/>
          <w:szCs w:val="32"/>
        </w:rPr>
        <w:t>开支的离退休</w:t>
      </w:r>
      <w:r>
        <w:rPr>
          <w:rFonts w:hint="default" w:ascii="Times New Roman" w:hAnsi="Times New Roman" w:eastAsia="仿宋_GB2312" w:cs="Times New Roman"/>
          <w:color w:val="auto"/>
          <w:sz w:val="32"/>
          <w:szCs w:val="32"/>
          <w:lang w:eastAsia="zh-CN"/>
        </w:rPr>
        <w:t>经费</w:t>
      </w:r>
      <w:r>
        <w:rPr>
          <w:rFonts w:hint="default" w:ascii="Times New Roman" w:hAnsi="Times New Roman" w:eastAsia="仿宋_GB2312" w:cs="Times New Roman"/>
          <w:color w:val="auto"/>
          <w:sz w:val="32"/>
          <w:szCs w:val="32"/>
        </w:rPr>
        <w:t>。</w:t>
      </w:r>
    </w:p>
    <w:p w14:paraId="46BBAFD6">
      <w:pPr>
        <w:pageBreakBefore w:val="0"/>
        <w:kinsoku/>
        <w:wordWrap/>
        <w:overflowPunct/>
        <w:topLinePunct w:val="0"/>
        <w:bidi w:val="0"/>
        <w:spacing w:line="560" w:lineRule="exact"/>
        <w:ind w:firstLine="64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1</w:t>
      </w:r>
      <w:r>
        <w:rPr>
          <w:rFonts w:hint="default" w:ascii="Times New Roman" w:hAnsi="Times New Roman" w:eastAsia="仿宋_GB2312" w:cs="Times New Roman"/>
          <w:color w:val="auto"/>
          <w:sz w:val="32"/>
          <w:szCs w:val="32"/>
          <w:lang w:val="en-US" w:eastAsia="zh-CN"/>
        </w:rPr>
        <w:t>3</w:t>
      </w:r>
      <w:r>
        <w:rPr>
          <w:rFonts w:hint="default" w:ascii="Times New Roman" w:hAnsi="Times New Roman" w:eastAsia="仿宋_GB2312" w:cs="Times New Roman"/>
          <w:color w:val="auto"/>
          <w:sz w:val="32"/>
          <w:szCs w:val="32"/>
        </w:rPr>
        <w:t>.社会保障和就业支出（类）行政事业单位</w:t>
      </w:r>
      <w:r>
        <w:rPr>
          <w:rFonts w:hint="default" w:ascii="Times New Roman" w:hAnsi="Times New Roman" w:eastAsia="仿宋_GB2312" w:cs="Times New Roman"/>
          <w:color w:val="auto"/>
          <w:sz w:val="32"/>
          <w:szCs w:val="32"/>
          <w:lang w:eastAsia="zh-CN"/>
        </w:rPr>
        <w:t>养老支出</w:t>
      </w:r>
      <w:r>
        <w:rPr>
          <w:rFonts w:hint="default" w:ascii="Times New Roman" w:hAnsi="Times New Roman" w:eastAsia="仿宋_GB2312" w:cs="Times New Roman"/>
          <w:color w:val="auto"/>
          <w:sz w:val="32"/>
          <w:szCs w:val="32"/>
        </w:rPr>
        <w:t>（款）机关事业单位基本养老保险缴费支出（项）：指机关事业单位实施养老保险制度由单位缴纳的基本养老保险费支出。</w:t>
      </w:r>
    </w:p>
    <w:p w14:paraId="233CCC1C">
      <w:pPr>
        <w:pageBreakBefore w:val="0"/>
        <w:kinsoku/>
        <w:wordWrap/>
        <w:overflowPunct/>
        <w:topLinePunct w:val="0"/>
        <w:bidi w:val="0"/>
        <w:spacing w:line="560" w:lineRule="exact"/>
        <w:ind w:firstLine="64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lang w:val="en-US" w:eastAsia="zh-CN"/>
        </w:rPr>
        <w:t>14.</w:t>
      </w:r>
      <w:r>
        <w:rPr>
          <w:rFonts w:hint="default" w:ascii="Times New Roman" w:hAnsi="Times New Roman" w:eastAsia="仿宋_GB2312" w:cs="Times New Roman"/>
          <w:color w:val="auto"/>
          <w:sz w:val="32"/>
          <w:szCs w:val="32"/>
        </w:rPr>
        <w:t>社会保障和就业支出（类）行政事业单位</w:t>
      </w:r>
      <w:r>
        <w:rPr>
          <w:rFonts w:hint="default" w:ascii="Times New Roman" w:hAnsi="Times New Roman" w:eastAsia="仿宋_GB2312" w:cs="Times New Roman"/>
          <w:color w:val="auto"/>
          <w:sz w:val="32"/>
          <w:szCs w:val="32"/>
          <w:lang w:eastAsia="zh-CN"/>
        </w:rPr>
        <w:t>养老支出</w:t>
      </w:r>
      <w:r>
        <w:rPr>
          <w:rFonts w:hint="default" w:ascii="Times New Roman" w:hAnsi="Times New Roman" w:eastAsia="仿宋_GB2312" w:cs="Times New Roman"/>
          <w:color w:val="auto"/>
          <w:sz w:val="32"/>
          <w:szCs w:val="32"/>
        </w:rPr>
        <w:t>（款）机关事业单位</w:t>
      </w:r>
      <w:r>
        <w:rPr>
          <w:rFonts w:hint="default" w:ascii="Times New Roman" w:hAnsi="Times New Roman" w:eastAsia="仿宋_GB2312" w:cs="Times New Roman"/>
          <w:color w:val="auto"/>
          <w:sz w:val="32"/>
          <w:szCs w:val="32"/>
          <w:lang w:eastAsia="zh-CN"/>
        </w:rPr>
        <w:t>职业年金缴费</w:t>
      </w:r>
      <w:r>
        <w:rPr>
          <w:rFonts w:hint="default" w:ascii="Times New Roman" w:hAnsi="Times New Roman" w:eastAsia="仿宋_GB2312" w:cs="Times New Roman"/>
          <w:color w:val="auto"/>
          <w:sz w:val="32"/>
          <w:szCs w:val="32"/>
        </w:rPr>
        <w:t>支出（项）：指机关事业单位实施养老保险制度由单位</w:t>
      </w:r>
      <w:r>
        <w:rPr>
          <w:rFonts w:hint="default" w:ascii="Times New Roman" w:hAnsi="Times New Roman" w:eastAsia="仿宋_GB2312" w:cs="Times New Roman"/>
          <w:color w:val="auto"/>
          <w:sz w:val="32"/>
          <w:szCs w:val="32"/>
          <w:lang w:eastAsia="zh-CN"/>
        </w:rPr>
        <w:t>实际</w:t>
      </w:r>
      <w:r>
        <w:rPr>
          <w:rFonts w:hint="default" w:ascii="Times New Roman" w:hAnsi="Times New Roman" w:eastAsia="仿宋_GB2312" w:cs="Times New Roman"/>
          <w:color w:val="auto"/>
          <w:sz w:val="32"/>
          <w:szCs w:val="32"/>
        </w:rPr>
        <w:t>缴纳的</w:t>
      </w:r>
      <w:r>
        <w:rPr>
          <w:rFonts w:hint="default" w:ascii="Times New Roman" w:hAnsi="Times New Roman" w:eastAsia="仿宋_GB2312" w:cs="Times New Roman"/>
          <w:color w:val="auto"/>
          <w:sz w:val="32"/>
          <w:szCs w:val="32"/>
          <w:lang w:eastAsia="zh-CN"/>
        </w:rPr>
        <w:t>职业年金</w:t>
      </w:r>
      <w:r>
        <w:rPr>
          <w:rFonts w:hint="default" w:ascii="Times New Roman" w:hAnsi="Times New Roman" w:eastAsia="仿宋_GB2312" w:cs="Times New Roman"/>
          <w:color w:val="auto"/>
          <w:sz w:val="32"/>
          <w:szCs w:val="32"/>
        </w:rPr>
        <w:t>支出。</w:t>
      </w:r>
    </w:p>
    <w:p w14:paraId="38ED9FC0">
      <w:pPr>
        <w:pageBreakBefore w:val="0"/>
        <w:kinsoku/>
        <w:wordWrap/>
        <w:overflowPunct/>
        <w:topLinePunct w:val="0"/>
        <w:bidi w:val="0"/>
        <w:spacing w:line="560" w:lineRule="exact"/>
        <w:ind w:firstLine="64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1</w:t>
      </w:r>
      <w:r>
        <w:rPr>
          <w:rFonts w:hint="default" w:ascii="Times New Roman" w:hAnsi="Times New Roman" w:eastAsia="仿宋_GB2312" w:cs="Times New Roman"/>
          <w:color w:val="auto"/>
          <w:sz w:val="32"/>
          <w:szCs w:val="32"/>
          <w:lang w:val="en-US" w:eastAsia="zh-CN"/>
        </w:rPr>
        <w:t>5</w:t>
      </w:r>
      <w:r>
        <w:rPr>
          <w:rFonts w:hint="default" w:ascii="Times New Roman" w:hAnsi="Times New Roman" w:eastAsia="仿宋_GB2312" w:cs="Times New Roman"/>
          <w:color w:val="auto"/>
          <w:sz w:val="32"/>
          <w:szCs w:val="32"/>
        </w:rPr>
        <w:t>.社会保障和就业（类）人力资源和社会保障管理事务（款）</w:t>
      </w:r>
      <w:r>
        <w:rPr>
          <w:rFonts w:hint="default" w:ascii="Times New Roman" w:hAnsi="Times New Roman" w:eastAsia="仿宋_GB2312" w:cs="Times New Roman"/>
          <w:color w:val="auto"/>
          <w:sz w:val="32"/>
          <w:szCs w:val="32"/>
          <w:lang w:eastAsia="zh-CN"/>
        </w:rPr>
        <w:t>其他人力资源和社会保障管理事务支出</w:t>
      </w:r>
      <w:r>
        <w:rPr>
          <w:rFonts w:hint="default" w:ascii="Times New Roman" w:hAnsi="Times New Roman" w:eastAsia="仿宋_GB2312" w:cs="Times New Roman"/>
          <w:color w:val="auto"/>
          <w:sz w:val="32"/>
          <w:szCs w:val="32"/>
        </w:rPr>
        <w:t>（项）：指</w:t>
      </w:r>
      <w:r>
        <w:rPr>
          <w:rFonts w:hint="default" w:ascii="Times New Roman" w:hAnsi="Times New Roman" w:eastAsia="仿宋_GB2312" w:cs="Times New Roman"/>
          <w:color w:val="auto"/>
          <w:sz w:val="32"/>
          <w:szCs w:val="32"/>
          <w:lang w:eastAsia="zh-CN"/>
        </w:rPr>
        <w:t>其他用于人力资源和社会保障管理事务方面</w:t>
      </w:r>
      <w:r>
        <w:rPr>
          <w:rFonts w:hint="default" w:ascii="Times New Roman" w:hAnsi="Times New Roman" w:eastAsia="仿宋_GB2312" w:cs="Times New Roman"/>
          <w:color w:val="auto"/>
          <w:sz w:val="32"/>
          <w:szCs w:val="32"/>
        </w:rPr>
        <w:t>的支出。</w:t>
      </w:r>
    </w:p>
    <w:p w14:paraId="4C121C25">
      <w:pPr>
        <w:spacing w:line="578" w:lineRule="exact"/>
        <w:ind w:firstLine="640" w:firstLineChars="200"/>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16.卫生健康支出（类）行政事业单位医疗（款）行政单位医疗（项）</w:t>
      </w:r>
      <w:r>
        <w:rPr>
          <w:rFonts w:hint="default" w:ascii="Times New Roman" w:hAnsi="Times New Roman" w:eastAsia="仿宋_GB2312" w:cs="Times New Roman"/>
          <w:sz w:val="32"/>
          <w:szCs w:val="32"/>
          <w:highlight w:val="none"/>
          <w:lang w:eastAsia="zh-CN"/>
        </w:rPr>
        <w:t>指：反映财政部门安排的行政单位（包括实行公务员管理的事业单位）基本医疗保险缴费经费，未参加医疗保险的行政单位的公费医疗经费，按国家规定享受离休人员、红军老战士待遇人员的医疗经费。</w:t>
      </w:r>
    </w:p>
    <w:p w14:paraId="563EE799">
      <w:pPr>
        <w:spacing w:line="578" w:lineRule="exact"/>
        <w:ind w:firstLine="640" w:firstLineChars="200"/>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17.卫生健康支出（类）行政事业单位医疗（款）公务员医疗补助（项）</w:t>
      </w:r>
      <w:r>
        <w:rPr>
          <w:rFonts w:hint="default" w:ascii="Times New Roman" w:hAnsi="Times New Roman" w:eastAsia="仿宋_GB2312" w:cs="Times New Roman"/>
          <w:sz w:val="32"/>
          <w:szCs w:val="32"/>
          <w:highlight w:val="none"/>
          <w:lang w:eastAsia="zh-CN"/>
        </w:rPr>
        <w:t>指：反映财政部门安排的公务员医疗补助经费。</w:t>
      </w:r>
    </w:p>
    <w:p w14:paraId="52907414">
      <w:pPr>
        <w:spacing w:line="578" w:lineRule="exact"/>
        <w:ind w:firstLine="640" w:firstLineChars="200"/>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18.卫生健康支出（类）行政事业单位医疗（款）其他行政事业单位医疗支出（项）</w:t>
      </w:r>
      <w:r>
        <w:rPr>
          <w:rFonts w:hint="default" w:ascii="Times New Roman" w:hAnsi="Times New Roman" w:eastAsia="仿宋_GB2312" w:cs="Times New Roman"/>
          <w:sz w:val="32"/>
          <w:szCs w:val="32"/>
          <w:highlight w:val="none"/>
          <w:lang w:eastAsia="zh-CN"/>
        </w:rPr>
        <w:t>指：反映其他用于行政事业单位医疗方面的支出。</w:t>
      </w:r>
    </w:p>
    <w:p w14:paraId="57429F23">
      <w:pPr>
        <w:spacing w:line="578" w:lineRule="exact"/>
        <w:ind w:firstLine="640" w:firstLineChars="200"/>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19.一般公共服务支出（类）组织事务（款）其他组织事务支出（项）指：其他用于中国共产党组织部门的事务支出。</w:t>
      </w:r>
    </w:p>
    <w:p w14:paraId="6DC1FEB2">
      <w:pPr>
        <w:spacing w:line="578"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sz w:val="32"/>
          <w:szCs w:val="32"/>
          <w:highlight w:val="none"/>
          <w:lang w:val="en-US" w:eastAsia="zh-CN"/>
        </w:rPr>
        <w:t>20.</w:t>
      </w:r>
      <w:r>
        <w:rPr>
          <w:rFonts w:hint="default" w:ascii="Times New Roman" w:hAnsi="Times New Roman" w:eastAsia="仿宋_GB2312" w:cs="Times New Roman"/>
          <w:color w:val="auto"/>
          <w:sz w:val="32"/>
          <w:szCs w:val="32"/>
        </w:rPr>
        <w:t>基本支出：指为保障机构正常运转、完成日常工作任务而发生的人员支出和公用支出。</w:t>
      </w:r>
    </w:p>
    <w:p w14:paraId="09E1D661">
      <w:pPr>
        <w:pageBreakBefore w:val="0"/>
        <w:kinsoku/>
        <w:wordWrap/>
        <w:overflowPunct/>
        <w:topLinePunct w:val="0"/>
        <w:bidi w:val="0"/>
        <w:spacing w:line="56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lang w:val="en-US" w:eastAsia="zh-CN"/>
        </w:rPr>
        <w:t>21</w:t>
      </w:r>
      <w:r>
        <w:rPr>
          <w:rFonts w:hint="default" w:ascii="Times New Roman" w:hAnsi="Times New Roman" w:eastAsia="仿宋_GB2312" w:cs="Times New Roman"/>
          <w:color w:val="auto"/>
          <w:sz w:val="32"/>
          <w:szCs w:val="32"/>
        </w:rPr>
        <w:t xml:space="preserve">.项目支出：指在基本支出之外为完成特定行政任务和事业发展目标所发生的支出。 </w:t>
      </w:r>
    </w:p>
    <w:p w14:paraId="6A54A115">
      <w:pPr>
        <w:pageBreakBefore w:val="0"/>
        <w:kinsoku/>
        <w:wordWrap/>
        <w:overflowPunct/>
        <w:topLinePunct w:val="0"/>
        <w:bidi w:val="0"/>
        <w:spacing w:line="56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lang w:val="en-US" w:eastAsia="zh-CN"/>
        </w:rPr>
        <w:t>22</w:t>
      </w:r>
      <w:r>
        <w:rPr>
          <w:rFonts w:hint="default" w:ascii="Times New Roman" w:hAnsi="Times New Roman" w:eastAsia="仿宋_GB2312" w:cs="Times New Roman"/>
          <w:color w:val="auto"/>
          <w:sz w:val="32"/>
          <w:szCs w:val="32"/>
        </w:rPr>
        <w:t>.经营支出：指事业单位在专业业务活动及其辅助活动之外开展非独立核算经营活动发生的支出。</w:t>
      </w:r>
    </w:p>
    <w:p w14:paraId="09CED3C7">
      <w:pPr>
        <w:pStyle w:val="29"/>
        <w:pageBreakBefore w:val="0"/>
        <w:kinsoku/>
        <w:wordWrap/>
        <w:overflowPunct/>
        <w:topLinePunct w:val="0"/>
        <w:bidi w:val="0"/>
        <w:spacing w:line="56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lang w:val="en-US" w:eastAsia="zh-CN"/>
        </w:rPr>
        <w:t>23</w:t>
      </w:r>
      <w:r>
        <w:rPr>
          <w:rFonts w:hint="default" w:ascii="Times New Roman" w:hAnsi="Times New Roman" w:eastAsia="仿宋_GB2312" w:cs="Times New Roman"/>
          <w:color w:val="auto"/>
          <w:sz w:val="32"/>
          <w:szCs w:val="32"/>
        </w:rPr>
        <w:t>.“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14:paraId="52B5814E">
      <w:pPr>
        <w:pStyle w:val="29"/>
        <w:pageBreakBefore w:val="0"/>
        <w:kinsoku/>
        <w:wordWrap/>
        <w:overflowPunct/>
        <w:topLinePunct w:val="0"/>
        <w:bidi w:val="0"/>
        <w:spacing w:line="56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lang w:val="en-US" w:eastAsia="zh-CN"/>
        </w:rPr>
        <w:t>24</w:t>
      </w:r>
      <w:r>
        <w:rPr>
          <w:rFonts w:hint="default" w:ascii="Times New Roman" w:hAnsi="Times New Roman" w:eastAsia="仿宋_GB2312" w:cs="Times New Roman"/>
          <w:color w:val="auto"/>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14:paraId="425C098E">
      <w:pPr>
        <w:spacing w:line="600" w:lineRule="exact"/>
        <w:jc w:val="center"/>
        <w:rPr>
          <w:rFonts w:hint="eastAsia" w:ascii="方正小标宋_GBK" w:hAnsi="方正小标宋_GBK" w:eastAsia="方正小标宋_GBK" w:cs="方正小标宋_GBK"/>
          <w:color w:val="auto"/>
          <w:sz w:val="44"/>
          <w:szCs w:val="44"/>
          <w:highlight w:val="none"/>
        </w:rPr>
      </w:pPr>
      <w:bookmarkStart w:id="51" w:name="_Toc15396614"/>
      <w:bookmarkStart w:id="52" w:name="_Toc15377226"/>
    </w:p>
    <w:p w14:paraId="75D1295B">
      <w:pPr>
        <w:spacing w:line="600" w:lineRule="exact"/>
        <w:jc w:val="center"/>
        <w:rPr>
          <w:rFonts w:hint="eastAsia" w:ascii="方正小标宋_GBK" w:hAnsi="方正小标宋_GBK" w:eastAsia="方正小标宋_GBK" w:cs="方正小标宋_GBK"/>
          <w:color w:val="auto"/>
          <w:sz w:val="44"/>
          <w:szCs w:val="44"/>
          <w:highlight w:val="none"/>
        </w:rPr>
      </w:pPr>
    </w:p>
    <w:p w14:paraId="6C9DF0D2">
      <w:pPr>
        <w:spacing w:line="600" w:lineRule="exact"/>
        <w:jc w:val="center"/>
        <w:rPr>
          <w:rFonts w:hint="eastAsia" w:ascii="方正小标宋_GBK" w:hAnsi="方正小标宋_GBK" w:eastAsia="方正小标宋_GBK" w:cs="方正小标宋_GBK"/>
          <w:color w:val="auto"/>
          <w:sz w:val="44"/>
          <w:szCs w:val="44"/>
          <w:highlight w:val="none"/>
        </w:rPr>
      </w:pPr>
    </w:p>
    <w:p w14:paraId="1638A56C">
      <w:pPr>
        <w:spacing w:line="600" w:lineRule="exact"/>
        <w:jc w:val="center"/>
        <w:rPr>
          <w:rFonts w:hint="eastAsia" w:ascii="方正小标宋_GBK" w:hAnsi="方正小标宋_GBK" w:eastAsia="方正小标宋_GBK" w:cs="方正小标宋_GBK"/>
          <w:color w:val="auto"/>
          <w:sz w:val="44"/>
          <w:szCs w:val="44"/>
          <w:highlight w:val="none"/>
        </w:rPr>
      </w:pPr>
    </w:p>
    <w:p w14:paraId="16931DA8">
      <w:pPr>
        <w:spacing w:line="600" w:lineRule="exact"/>
        <w:jc w:val="center"/>
        <w:rPr>
          <w:rFonts w:hint="eastAsia" w:ascii="方正小标宋_GBK" w:hAnsi="方正小标宋_GBK" w:eastAsia="方正小标宋_GBK" w:cs="方正小标宋_GBK"/>
          <w:color w:val="auto"/>
          <w:sz w:val="44"/>
          <w:szCs w:val="44"/>
          <w:highlight w:val="none"/>
        </w:rPr>
      </w:pPr>
    </w:p>
    <w:p w14:paraId="2D2FAFE1">
      <w:pPr>
        <w:spacing w:line="600" w:lineRule="exact"/>
        <w:jc w:val="center"/>
        <w:rPr>
          <w:rFonts w:hint="eastAsia" w:ascii="方正小标宋_GBK" w:hAnsi="方正小标宋_GBK" w:eastAsia="方正小标宋_GBK" w:cs="方正小标宋_GBK"/>
          <w:color w:val="auto"/>
          <w:sz w:val="44"/>
          <w:szCs w:val="44"/>
          <w:highlight w:val="none"/>
        </w:rPr>
      </w:pPr>
    </w:p>
    <w:p w14:paraId="5A5B98C3">
      <w:pPr>
        <w:spacing w:line="600" w:lineRule="exact"/>
        <w:jc w:val="center"/>
        <w:rPr>
          <w:rFonts w:hint="eastAsia" w:ascii="方正小标宋_GBK" w:hAnsi="方正小标宋_GBK" w:eastAsia="方正小标宋_GBK" w:cs="方正小标宋_GBK"/>
          <w:color w:val="auto"/>
          <w:sz w:val="44"/>
          <w:szCs w:val="44"/>
          <w:highlight w:val="none"/>
        </w:rPr>
      </w:pPr>
    </w:p>
    <w:p w14:paraId="01441E90">
      <w:pPr>
        <w:spacing w:line="600" w:lineRule="exact"/>
        <w:jc w:val="center"/>
        <w:rPr>
          <w:rFonts w:hint="eastAsia" w:ascii="方正小标宋_GBK" w:hAnsi="方正小标宋_GBK" w:eastAsia="方正小标宋_GBK" w:cs="方正小标宋_GBK"/>
          <w:color w:val="auto"/>
          <w:sz w:val="44"/>
          <w:szCs w:val="44"/>
          <w:highlight w:val="none"/>
        </w:rPr>
      </w:pPr>
    </w:p>
    <w:p w14:paraId="6CEF27E0">
      <w:pPr>
        <w:spacing w:line="600" w:lineRule="exact"/>
        <w:jc w:val="center"/>
        <w:rPr>
          <w:rFonts w:hint="eastAsia" w:ascii="方正小标宋_GBK" w:hAnsi="方正小标宋_GBK" w:eastAsia="方正小标宋_GBK" w:cs="方正小标宋_GBK"/>
          <w:color w:val="auto"/>
          <w:sz w:val="44"/>
          <w:szCs w:val="44"/>
          <w:highlight w:val="none"/>
        </w:rPr>
      </w:pPr>
    </w:p>
    <w:p w14:paraId="231E7B23">
      <w:pPr>
        <w:spacing w:line="600" w:lineRule="exact"/>
        <w:jc w:val="center"/>
        <w:rPr>
          <w:rFonts w:hint="eastAsia" w:ascii="方正小标宋_GBK" w:hAnsi="方正小标宋_GBK" w:eastAsia="方正小标宋_GBK" w:cs="方正小标宋_GBK"/>
          <w:color w:val="auto"/>
          <w:sz w:val="44"/>
          <w:szCs w:val="44"/>
          <w:highlight w:val="none"/>
        </w:rPr>
      </w:pPr>
    </w:p>
    <w:p w14:paraId="09685B8F">
      <w:pPr>
        <w:spacing w:line="600" w:lineRule="exact"/>
        <w:jc w:val="center"/>
        <w:rPr>
          <w:rFonts w:hint="eastAsia" w:ascii="方正小标宋_GBK" w:hAnsi="方正小标宋_GBK" w:eastAsia="方正小标宋_GBK" w:cs="方正小标宋_GBK"/>
          <w:color w:val="auto"/>
          <w:sz w:val="44"/>
          <w:szCs w:val="44"/>
          <w:highlight w:val="none"/>
        </w:rPr>
      </w:pPr>
    </w:p>
    <w:p w14:paraId="7D5E9FC6">
      <w:pPr>
        <w:spacing w:line="600" w:lineRule="exact"/>
        <w:jc w:val="center"/>
        <w:rPr>
          <w:rFonts w:hint="eastAsia" w:ascii="方正小标宋_GBK" w:hAnsi="方正小标宋_GBK" w:eastAsia="方正小标宋_GBK" w:cs="方正小标宋_GBK"/>
          <w:color w:val="auto"/>
          <w:sz w:val="44"/>
          <w:szCs w:val="44"/>
          <w:highlight w:val="none"/>
        </w:rPr>
      </w:pPr>
    </w:p>
    <w:p w14:paraId="7E7B70A1">
      <w:pPr>
        <w:spacing w:line="600" w:lineRule="exact"/>
        <w:jc w:val="center"/>
        <w:rPr>
          <w:rFonts w:hint="eastAsia" w:ascii="方正小标宋_GBK" w:hAnsi="方正小标宋_GBK" w:eastAsia="方正小标宋_GBK" w:cs="方正小标宋_GBK"/>
          <w:color w:val="auto"/>
          <w:sz w:val="44"/>
          <w:szCs w:val="44"/>
          <w:highlight w:val="none"/>
        </w:rPr>
      </w:pPr>
    </w:p>
    <w:p w14:paraId="4690314B">
      <w:pPr>
        <w:spacing w:line="600" w:lineRule="exact"/>
        <w:jc w:val="center"/>
        <w:rPr>
          <w:rFonts w:hint="eastAsia" w:ascii="方正小标宋_GBK" w:hAnsi="方正小标宋_GBK" w:eastAsia="方正小标宋_GBK" w:cs="方正小标宋_GBK"/>
          <w:color w:val="auto"/>
          <w:sz w:val="44"/>
          <w:szCs w:val="44"/>
          <w:highlight w:val="none"/>
        </w:rPr>
      </w:pPr>
    </w:p>
    <w:p w14:paraId="7ED0E029">
      <w:pPr>
        <w:spacing w:line="600" w:lineRule="exact"/>
        <w:jc w:val="center"/>
        <w:rPr>
          <w:rFonts w:hint="eastAsia" w:ascii="方正小标宋_GBK" w:hAnsi="方正小标宋_GBK" w:eastAsia="方正小标宋_GBK" w:cs="方正小标宋_GBK"/>
          <w:color w:val="auto"/>
          <w:sz w:val="44"/>
          <w:szCs w:val="44"/>
          <w:highlight w:val="none"/>
        </w:rPr>
      </w:pPr>
    </w:p>
    <w:p w14:paraId="068F2E24">
      <w:pPr>
        <w:spacing w:line="600" w:lineRule="exact"/>
        <w:jc w:val="center"/>
        <w:rPr>
          <w:rFonts w:hint="eastAsia" w:ascii="方正小标宋_GBK" w:hAnsi="方正小标宋_GBK" w:eastAsia="方正小标宋_GBK" w:cs="方正小标宋_GBK"/>
          <w:color w:val="auto"/>
          <w:sz w:val="44"/>
          <w:szCs w:val="44"/>
          <w:highlight w:val="none"/>
        </w:rPr>
      </w:pPr>
    </w:p>
    <w:p w14:paraId="36B2C15F">
      <w:pPr>
        <w:spacing w:line="600" w:lineRule="exact"/>
        <w:jc w:val="center"/>
        <w:rPr>
          <w:rFonts w:hint="eastAsia" w:ascii="方正小标宋_GBK" w:hAnsi="方正小标宋_GBK" w:eastAsia="方正小标宋_GBK" w:cs="方正小标宋_GBK"/>
          <w:color w:val="auto"/>
          <w:sz w:val="44"/>
          <w:szCs w:val="44"/>
          <w:highlight w:val="none"/>
        </w:rPr>
      </w:pPr>
    </w:p>
    <w:p w14:paraId="6B0F49AA">
      <w:pPr>
        <w:spacing w:line="600" w:lineRule="exact"/>
        <w:jc w:val="center"/>
        <w:rPr>
          <w:rFonts w:hint="eastAsia" w:ascii="方正小标宋_GBK" w:hAnsi="方正小标宋_GBK" w:eastAsia="方正小标宋_GBK" w:cs="方正小标宋_GBK"/>
          <w:color w:val="auto"/>
          <w:sz w:val="44"/>
          <w:szCs w:val="44"/>
          <w:highlight w:val="none"/>
        </w:rPr>
      </w:pPr>
    </w:p>
    <w:p w14:paraId="199B1DFA">
      <w:pPr>
        <w:spacing w:line="600" w:lineRule="exact"/>
        <w:jc w:val="center"/>
        <w:rPr>
          <w:rFonts w:hint="eastAsia" w:ascii="方正小标宋_GBK" w:hAnsi="方正小标宋_GBK" w:eastAsia="方正小标宋_GBK" w:cs="方正小标宋_GBK"/>
          <w:color w:val="auto"/>
          <w:sz w:val="44"/>
          <w:szCs w:val="44"/>
          <w:highlight w:val="none"/>
        </w:rPr>
      </w:pPr>
    </w:p>
    <w:p w14:paraId="4F01D281">
      <w:pPr>
        <w:spacing w:line="600" w:lineRule="exact"/>
        <w:jc w:val="center"/>
        <w:rPr>
          <w:rFonts w:hint="eastAsia" w:ascii="方正小标宋_GBK" w:hAnsi="方正小标宋_GBK" w:eastAsia="方正小标宋_GBK" w:cs="方正小标宋_GBK"/>
          <w:color w:val="auto"/>
          <w:sz w:val="44"/>
          <w:szCs w:val="44"/>
          <w:highlight w:val="none"/>
        </w:rPr>
      </w:pPr>
    </w:p>
    <w:p w14:paraId="7F4E5AD9">
      <w:pPr>
        <w:spacing w:line="600" w:lineRule="exact"/>
        <w:jc w:val="center"/>
        <w:rPr>
          <w:rFonts w:hint="eastAsia" w:ascii="方正小标宋_GBK" w:hAnsi="方正小标宋_GBK" w:eastAsia="方正小标宋_GBK" w:cs="方正小标宋_GBK"/>
          <w:color w:val="auto"/>
          <w:sz w:val="44"/>
          <w:szCs w:val="44"/>
          <w:highlight w:val="none"/>
        </w:rPr>
      </w:pPr>
    </w:p>
    <w:p w14:paraId="7AD8B4F7">
      <w:pPr>
        <w:spacing w:line="600" w:lineRule="exact"/>
        <w:jc w:val="center"/>
        <w:rPr>
          <w:rStyle w:val="31"/>
          <w:rFonts w:hint="eastAsia" w:ascii="方正小标宋_GBK" w:hAnsi="方正小标宋_GBK" w:eastAsia="方正小标宋_GBK" w:cs="方正小标宋_GBK"/>
          <w:b w:val="0"/>
          <w:color w:val="auto"/>
          <w:highlight w:val="none"/>
          <w:lang w:eastAsia="zh-CN"/>
        </w:rPr>
      </w:pPr>
      <w:r>
        <w:rPr>
          <w:rFonts w:hint="eastAsia" w:ascii="方正小标宋_GBK" w:hAnsi="方正小标宋_GBK" w:eastAsia="方正小标宋_GBK" w:cs="方正小标宋_GBK"/>
          <w:color w:val="auto"/>
          <w:sz w:val="44"/>
          <w:szCs w:val="44"/>
          <w:highlight w:val="none"/>
        </w:rPr>
        <w:t>第四部分</w:t>
      </w:r>
      <w:r>
        <w:rPr>
          <w:rFonts w:hint="eastAsia" w:ascii="方正小标宋_GBK" w:hAnsi="方正小标宋_GBK" w:eastAsia="方正小标宋_GBK" w:cs="方正小标宋_GBK"/>
          <w:color w:val="auto"/>
          <w:sz w:val="44"/>
          <w:szCs w:val="44"/>
          <w:highlight w:val="none"/>
          <w:lang w:val="en-US" w:eastAsia="zh-CN"/>
        </w:rPr>
        <w:t xml:space="preserve"> </w:t>
      </w:r>
      <w:r>
        <w:rPr>
          <w:rFonts w:hint="eastAsia" w:ascii="方正小标宋_GBK" w:hAnsi="方正小标宋_GBK" w:eastAsia="方正小标宋_GBK" w:cs="方正小标宋_GBK"/>
          <w:color w:val="auto"/>
          <w:sz w:val="44"/>
          <w:szCs w:val="44"/>
          <w:highlight w:val="none"/>
        </w:rPr>
        <w:t xml:space="preserve"> 附件</w:t>
      </w:r>
      <w:bookmarkEnd w:id="51"/>
    </w:p>
    <w:p w14:paraId="2054A3A1">
      <w:pPr>
        <w:keepNext w:val="0"/>
        <w:keepLines w:val="0"/>
        <w:pageBreakBefore w:val="0"/>
        <w:kinsoku/>
        <w:wordWrap/>
        <w:overflowPunct/>
        <w:topLinePunct w:val="0"/>
        <w:autoSpaceDE/>
        <w:autoSpaceDN/>
        <w:bidi w:val="0"/>
        <w:spacing w:line="572" w:lineRule="exact"/>
        <w:jc w:val="left"/>
        <w:textAlignment w:val="auto"/>
        <w:outlineLvl w:val="0"/>
        <w:rPr>
          <w:rFonts w:hint="default" w:ascii="Times New Roman" w:hAnsi="Times New Roman" w:eastAsia="黑体" w:cs="Times New Roman"/>
          <w:color w:val="FF0000"/>
          <w:sz w:val="32"/>
          <w:szCs w:val="32"/>
          <w:highlight w:val="none"/>
        </w:rPr>
      </w:pPr>
    </w:p>
    <w:p w14:paraId="7AB7BE6C">
      <w:pPr>
        <w:keepNext w:val="0"/>
        <w:keepLines w:val="0"/>
        <w:pageBreakBefore w:val="0"/>
        <w:kinsoku/>
        <w:wordWrap/>
        <w:overflowPunct/>
        <w:topLinePunct w:val="0"/>
        <w:autoSpaceDE/>
        <w:autoSpaceDN/>
        <w:bidi w:val="0"/>
        <w:spacing w:line="600" w:lineRule="exact"/>
        <w:jc w:val="left"/>
        <w:textAlignment w:val="auto"/>
        <w:outlineLvl w:val="0"/>
        <w:rPr>
          <w:rFonts w:hint="default" w:ascii="Times New Roman" w:hAnsi="Times New Roman" w:eastAsia="黑体" w:cs="Times New Roman"/>
          <w:color w:val="auto"/>
          <w:sz w:val="44"/>
          <w:szCs w:val="44"/>
          <w:highlight w:val="none"/>
          <w:lang w:val="en-US" w:eastAsia="zh-CN"/>
        </w:rPr>
      </w:pPr>
      <w:r>
        <w:rPr>
          <w:rFonts w:hint="default" w:ascii="Times New Roman" w:hAnsi="Times New Roman" w:eastAsia="黑体" w:cs="Times New Roman"/>
          <w:color w:val="auto"/>
          <w:sz w:val="32"/>
          <w:szCs w:val="32"/>
          <w:highlight w:val="none"/>
        </w:rPr>
        <w:t>附件</w:t>
      </w:r>
      <w:r>
        <w:rPr>
          <w:rFonts w:hint="default" w:ascii="Times New Roman" w:hAnsi="Times New Roman" w:eastAsia="黑体" w:cs="Times New Roman"/>
          <w:color w:val="auto"/>
          <w:sz w:val="32"/>
          <w:szCs w:val="32"/>
          <w:highlight w:val="none"/>
          <w:lang w:val="en-US" w:eastAsia="zh-CN"/>
        </w:rPr>
        <w:t>1</w:t>
      </w:r>
    </w:p>
    <w:p w14:paraId="3AE4F395">
      <w:pPr>
        <w:keepNext w:val="0"/>
        <w:keepLines w:val="0"/>
        <w:pageBreakBefore w:val="0"/>
        <w:widowControl/>
        <w:kinsoku/>
        <w:wordWrap/>
        <w:overflowPunct/>
        <w:topLinePunct w:val="0"/>
        <w:autoSpaceDE/>
        <w:autoSpaceDN/>
        <w:bidi w:val="0"/>
        <w:spacing w:line="600" w:lineRule="exact"/>
        <w:contextualSpacing/>
        <w:jc w:val="center"/>
        <w:textAlignment w:val="auto"/>
        <w:outlineLvl w:val="9"/>
        <w:rPr>
          <w:rFonts w:hint="eastAsia" w:ascii="方正小标宋_GBK" w:hAnsi="方正小标宋_GBK" w:eastAsia="方正小标宋_GBK" w:cs="方正小标宋_GBK"/>
          <w:b w:val="0"/>
          <w:bCs/>
          <w:sz w:val="44"/>
          <w:szCs w:val="44"/>
          <w:highlight w:val="none"/>
          <w:shd w:val="clear" w:color="auto" w:fill="FFFFFF"/>
        </w:rPr>
      </w:pPr>
    </w:p>
    <w:p w14:paraId="1B7DC0F5">
      <w:pPr>
        <w:keepNext w:val="0"/>
        <w:keepLines w:val="0"/>
        <w:pageBreakBefore w:val="0"/>
        <w:widowControl/>
        <w:kinsoku/>
        <w:wordWrap/>
        <w:overflowPunct/>
        <w:topLinePunct w:val="0"/>
        <w:autoSpaceDE/>
        <w:autoSpaceDN/>
        <w:bidi w:val="0"/>
        <w:spacing w:line="600" w:lineRule="exact"/>
        <w:contextualSpacing/>
        <w:jc w:val="center"/>
        <w:textAlignment w:val="auto"/>
        <w:rPr>
          <w:rFonts w:hint="eastAsia" w:ascii="方正小标宋_GBK" w:hAnsi="方正小标宋_GBK" w:eastAsia="方正小标宋_GBK" w:cs="方正小标宋_GBK"/>
          <w:bCs/>
          <w:sz w:val="44"/>
          <w:szCs w:val="44"/>
          <w:shd w:val="clear" w:color="auto" w:fill="FFFFFF"/>
        </w:rPr>
      </w:pPr>
      <w:r>
        <w:rPr>
          <w:rFonts w:hint="eastAsia" w:ascii="方正小标宋_GBK" w:hAnsi="方正小标宋_GBK" w:eastAsia="方正小标宋_GBK" w:cs="方正小标宋_GBK"/>
          <w:bCs/>
          <w:sz w:val="44"/>
          <w:szCs w:val="44"/>
          <w:shd w:val="clear" w:color="auto" w:fill="FFFFFF"/>
        </w:rPr>
        <w:t>攀枝花市社会保险事务中心</w:t>
      </w:r>
    </w:p>
    <w:p w14:paraId="7D1A403A">
      <w:pPr>
        <w:keepNext w:val="0"/>
        <w:keepLines w:val="0"/>
        <w:pageBreakBefore w:val="0"/>
        <w:widowControl/>
        <w:kinsoku/>
        <w:wordWrap/>
        <w:overflowPunct/>
        <w:topLinePunct w:val="0"/>
        <w:autoSpaceDE/>
        <w:autoSpaceDN/>
        <w:bidi w:val="0"/>
        <w:spacing w:line="600" w:lineRule="exact"/>
        <w:contextualSpacing/>
        <w:jc w:val="center"/>
        <w:textAlignment w:val="auto"/>
        <w:rPr>
          <w:rFonts w:hint="eastAsia" w:ascii="方正小标宋_GBK" w:hAnsi="方正小标宋_GBK" w:eastAsia="方正小标宋_GBK" w:cs="方正小标宋_GBK"/>
          <w:bCs/>
          <w:sz w:val="44"/>
          <w:szCs w:val="44"/>
          <w:shd w:val="clear" w:color="auto" w:fill="FFFFFF"/>
        </w:rPr>
      </w:pPr>
      <w:r>
        <w:rPr>
          <w:rFonts w:hint="eastAsia" w:ascii="方正小标宋_GBK" w:hAnsi="方正小标宋_GBK" w:eastAsia="方正小标宋_GBK" w:cs="方正小标宋_GBK"/>
          <w:bCs/>
          <w:sz w:val="44"/>
          <w:szCs w:val="44"/>
          <w:shd w:val="clear" w:color="auto" w:fill="FFFFFF"/>
          <w:lang w:val="en-US" w:eastAsia="zh-CN"/>
        </w:rPr>
        <w:t>2024年</w:t>
      </w:r>
      <w:r>
        <w:rPr>
          <w:rFonts w:hint="eastAsia" w:ascii="方正小标宋_GBK" w:hAnsi="方正小标宋_GBK" w:eastAsia="方正小标宋_GBK" w:cs="方正小标宋_GBK"/>
          <w:bCs/>
          <w:sz w:val="44"/>
          <w:szCs w:val="44"/>
          <w:shd w:val="clear" w:color="auto" w:fill="FFFFFF"/>
        </w:rPr>
        <w:t>部门预算绩效自评报告</w:t>
      </w:r>
    </w:p>
    <w:p w14:paraId="278A7D94">
      <w:pPr>
        <w:keepNext w:val="0"/>
        <w:keepLines w:val="0"/>
        <w:pageBreakBefore w:val="0"/>
        <w:widowControl/>
        <w:kinsoku/>
        <w:wordWrap/>
        <w:overflowPunct/>
        <w:topLinePunct w:val="0"/>
        <w:autoSpaceDE/>
        <w:autoSpaceDN/>
        <w:bidi w:val="0"/>
        <w:spacing w:line="600" w:lineRule="exact"/>
        <w:contextualSpacing/>
        <w:jc w:val="center"/>
        <w:textAlignment w:val="auto"/>
        <w:rPr>
          <w:rFonts w:hint="default" w:ascii="Times New Roman" w:hAnsi="Times New Roman" w:eastAsia="方正小标宋简体" w:cs="Times New Roman"/>
          <w:bCs/>
          <w:sz w:val="44"/>
          <w:szCs w:val="44"/>
          <w:shd w:val="clear" w:color="auto" w:fill="FFFFFF"/>
        </w:rPr>
      </w:pPr>
    </w:p>
    <w:p w14:paraId="3D5C3F12">
      <w:pPr>
        <w:keepNext w:val="0"/>
        <w:keepLines w:val="0"/>
        <w:pageBreakBefore w:val="0"/>
        <w:widowControl/>
        <w:kinsoku/>
        <w:wordWrap/>
        <w:overflowPunct/>
        <w:topLinePunct w:val="0"/>
        <w:autoSpaceDE/>
        <w:autoSpaceDN/>
        <w:bidi w:val="0"/>
        <w:adjustRightInd w:val="0"/>
        <w:snapToGrid w:val="0"/>
        <w:spacing w:line="600" w:lineRule="exact"/>
        <w:contextualSpacing/>
        <w:jc w:val="left"/>
        <w:textAlignment w:val="auto"/>
        <w:rPr>
          <w:rFonts w:hint="default" w:ascii="Times New Roman" w:hAnsi="Times New Roman" w:eastAsia="仿宋_GB2312" w:cs="Times New Roman"/>
          <w:color w:val="auto"/>
          <w:kern w:val="0"/>
          <w:sz w:val="32"/>
          <w:szCs w:val="32"/>
          <w:lang w:val="zh-CN" w:eastAsia="zh-CN" w:bidi="ar-SA"/>
        </w:rPr>
      </w:pPr>
      <w:r>
        <w:rPr>
          <w:rFonts w:hint="default" w:ascii="Times New Roman" w:hAnsi="Times New Roman" w:eastAsia="仿宋_GB2312" w:cs="Times New Roman"/>
          <w:color w:val="auto"/>
          <w:kern w:val="0"/>
          <w:sz w:val="32"/>
          <w:szCs w:val="32"/>
          <w:lang w:val="zh-CN" w:eastAsia="zh-CN" w:bidi="ar-SA"/>
        </w:rPr>
        <w:t>攀枝花市财政局：</w:t>
      </w:r>
    </w:p>
    <w:p w14:paraId="7535D333">
      <w:pPr>
        <w:keepNext w:val="0"/>
        <w:keepLines w:val="0"/>
        <w:pageBreakBefore w:val="0"/>
        <w:widowControl/>
        <w:kinsoku/>
        <w:wordWrap/>
        <w:overflowPunct/>
        <w:topLinePunct w:val="0"/>
        <w:autoSpaceDE/>
        <w:autoSpaceDN/>
        <w:bidi w:val="0"/>
        <w:adjustRightInd w:val="0"/>
        <w:snapToGrid w:val="0"/>
        <w:spacing w:line="600" w:lineRule="exact"/>
        <w:ind w:firstLine="640" w:firstLineChars="200"/>
        <w:contextualSpacing/>
        <w:jc w:val="both"/>
        <w:textAlignment w:val="auto"/>
        <w:rPr>
          <w:rFonts w:hint="default" w:ascii="Times New Roman" w:hAnsi="Times New Roman" w:eastAsia="仿宋_GB2312" w:cs="Times New Roman"/>
          <w:color w:val="auto"/>
          <w:kern w:val="0"/>
          <w:sz w:val="32"/>
          <w:szCs w:val="32"/>
          <w:lang w:val="en-US" w:eastAsia="zh-CN" w:bidi="ar-SA"/>
        </w:rPr>
      </w:pPr>
      <w:r>
        <w:rPr>
          <w:rFonts w:hint="default" w:ascii="Times New Roman" w:hAnsi="Times New Roman" w:eastAsia="仿宋_GB2312" w:cs="Times New Roman"/>
          <w:color w:val="auto"/>
          <w:kern w:val="0"/>
          <w:sz w:val="32"/>
          <w:szCs w:val="32"/>
          <w:lang w:val="zh-CN" w:eastAsia="zh-CN" w:bidi="ar-SA"/>
        </w:rPr>
        <w:t>按照《攀枝花市财政局关于开展市本级预算绩效自评工作的通知》（攀财绩〔202</w:t>
      </w:r>
      <w:r>
        <w:rPr>
          <w:rFonts w:hint="default" w:ascii="Times New Roman" w:hAnsi="Times New Roman" w:eastAsia="仿宋_GB2312" w:cs="Times New Roman"/>
          <w:color w:val="auto"/>
          <w:kern w:val="0"/>
          <w:sz w:val="32"/>
          <w:szCs w:val="32"/>
          <w:lang w:val="en-US" w:eastAsia="zh-CN" w:bidi="ar-SA"/>
        </w:rPr>
        <w:t>5</w:t>
      </w:r>
      <w:r>
        <w:rPr>
          <w:rFonts w:hint="default" w:ascii="Times New Roman" w:hAnsi="Times New Roman" w:eastAsia="仿宋_GB2312" w:cs="Times New Roman"/>
          <w:color w:val="auto"/>
          <w:kern w:val="0"/>
          <w:sz w:val="32"/>
          <w:szCs w:val="32"/>
          <w:lang w:val="zh-CN" w:eastAsia="zh-CN" w:bidi="ar-SA"/>
        </w:rPr>
        <w:t>〕</w:t>
      </w:r>
      <w:r>
        <w:rPr>
          <w:rFonts w:hint="default" w:ascii="Times New Roman" w:hAnsi="Times New Roman" w:eastAsia="仿宋_GB2312" w:cs="Times New Roman"/>
          <w:color w:val="auto"/>
          <w:kern w:val="0"/>
          <w:sz w:val="32"/>
          <w:szCs w:val="32"/>
          <w:lang w:val="en-US" w:eastAsia="zh-CN" w:bidi="ar-SA"/>
        </w:rPr>
        <w:t>3</w:t>
      </w:r>
      <w:r>
        <w:rPr>
          <w:rFonts w:hint="default" w:ascii="Times New Roman" w:hAnsi="Times New Roman" w:eastAsia="仿宋_GB2312" w:cs="Times New Roman"/>
          <w:color w:val="auto"/>
          <w:kern w:val="0"/>
          <w:sz w:val="32"/>
          <w:szCs w:val="32"/>
          <w:lang w:val="zh-CN" w:eastAsia="zh-CN" w:bidi="ar-SA"/>
        </w:rPr>
        <w:t>号）要求，</w:t>
      </w:r>
      <w:r>
        <w:rPr>
          <w:rFonts w:hint="default" w:ascii="Times New Roman" w:hAnsi="Times New Roman" w:eastAsia="仿宋_GB2312" w:cs="Times New Roman"/>
          <w:color w:val="auto"/>
          <w:kern w:val="0"/>
          <w:sz w:val="32"/>
          <w:szCs w:val="32"/>
          <w:lang w:val="en-US" w:eastAsia="zh-CN" w:bidi="ar-SA"/>
        </w:rPr>
        <w:t>着力提升财政资源配置效率和资金</w:t>
      </w:r>
      <w:r>
        <w:rPr>
          <w:rFonts w:hint="default" w:ascii="Times New Roman" w:hAnsi="Times New Roman" w:eastAsia="仿宋_GB2312" w:cs="Times New Roman"/>
          <w:color w:val="auto"/>
          <w:kern w:val="0"/>
          <w:sz w:val="32"/>
          <w:szCs w:val="32"/>
          <w:lang w:val="zh-CN" w:eastAsia="zh-CN" w:bidi="ar-SA"/>
        </w:rPr>
        <w:t>使用效益，</w:t>
      </w:r>
      <w:r>
        <w:rPr>
          <w:rFonts w:hint="eastAsia" w:ascii="Times New Roman" w:hAnsi="Times New Roman" w:eastAsia="仿宋_GB2312" w:cs="Times New Roman"/>
          <w:color w:val="auto"/>
          <w:kern w:val="0"/>
          <w:sz w:val="32"/>
          <w:szCs w:val="32"/>
          <w:lang w:val="en-US" w:eastAsia="zh-CN" w:bidi="ar-SA"/>
        </w:rPr>
        <w:t>攀枝花</w:t>
      </w:r>
      <w:r>
        <w:rPr>
          <w:rFonts w:hint="default" w:ascii="Times New Roman" w:hAnsi="Times New Roman" w:eastAsia="仿宋_GB2312" w:cs="Times New Roman"/>
          <w:color w:val="auto"/>
          <w:kern w:val="0"/>
          <w:sz w:val="32"/>
          <w:szCs w:val="32"/>
          <w:lang w:val="en-US" w:eastAsia="zh-CN" w:bidi="ar-SA"/>
        </w:rPr>
        <w:t>市社会保险事务中心</w:t>
      </w:r>
      <w:r>
        <w:rPr>
          <w:rFonts w:hint="default" w:ascii="Times New Roman" w:hAnsi="Times New Roman" w:eastAsia="仿宋_GB2312" w:cs="Times New Roman"/>
          <w:color w:val="auto"/>
          <w:kern w:val="0"/>
          <w:sz w:val="32"/>
          <w:szCs w:val="32"/>
          <w:lang w:val="zh-CN" w:eastAsia="zh-CN" w:bidi="ar-SA"/>
        </w:rPr>
        <w:t>中心认真组织开展了202</w:t>
      </w:r>
      <w:r>
        <w:rPr>
          <w:rFonts w:hint="default" w:ascii="Times New Roman" w:hAnsi="Times New Roman" w:eastAsia="仿宋_GB2312" w:cs="Times New Roman"/>
          <w:color w:val="auto"/>
          <w:kern w:val="0"/>
          <w:sz w:val="32"/>
          <w:szCs w:val="32"/>
          <w:lang w:val="en-US" w:eastAsia="zh-CN" w:bidi="ar-SA"/>
        </w:rPr>
        <w:t>4</w:t>
      </w:r>
      <w:r>
        <w:rPr>
          <w:rFonts w:hint="default" w:ascii="Times New Roman" w:hAnsi="Times New Roman" w:eastAsia="仿宋_GB2312" w:cs="Times New Roman"/>
          <w:color w:val="auto"/>
          <w:kern w:val="0"/>
          <w:sz w:val="32"/>
          <w:szCs w:val="32"/>
          <w:lang w:val="zh-CN" w:eastAsia="zh-CN" w:bidi="ar-SA"/>
        </w:rPr>
        <w:t>年部门预算整体绩效自评工作，</w:t>
      </w:r>
      <w:r>
        <w:rPr>
          <w:rFonts w:hint="default" w:ascii="Times New Roman" w:hAnsi="Times New Roman" w:eastAsia="仿宋_GB2312" w:cs="Times New Roman"/>
          <w:color w:val="auto"/>
          <w:kern w:val="0"/>
          <w:sz w:val="32"/>
          <w:szCs w:val="32"/>
          <w:lang w:val="en-US" w:eastAsia="zh-CN" w:bidi="ar-SA"/>
        </w:rPr>
        <w:t>现将相关情况</w:t>
      </w:r>
      <w:r>
        <w:rPr>
          <w:rFonts w:hint="default" w:ascii="Times New Roman" w:hAnsi="Times New Roman" w:eastAsia="仿宋_GB2312" w:cs="Times New Roman"/>
          <w:color w:val="auto"/>
          <w:kern w:val="0"/>
          <w:sz w:val="32"/>
          <w:szCs w:val="32"/>
          <w:lang w:val="zh-CN" w:eastAsia="zh-CN" w:bidi="ar-SA"/>
        </w:rPr>
        <w:t>报告如下。</w:t>
      </w:r>
    </w:p>
    <w:p w14:paraId="6C4BDA71">
      <w:pPr>
        <w:keepNext w:val="0"/>
        <w:keepLines w:val="0"/>
        <w:pageBreakBefore w:val="0"/>
        <w:widowControl/>
        <w:kinsoku/>
        <w:wordWrap/>
        <w:overflowPunct/>
        <w:topLinePunct w:val="0"/>
        <w:autoSpaceDE/>
        <w:autoSpaceDN/>
        <w:bidi w:val="0"/>
        <w:adjustRightInd w:val="0"/>
        <w:snapToGrid w:val="0"/>
        <w:spacing w:line="600" w:lineRule="exact"/>
        <w:ind w:firstLine="640" w:firstLineChars="200"/>
        <w:contextualSpacing/>
        <w:jc w:val="left"/>
        <w:textAlignment w:val="auto"/>
        <w:rPr>
          <w:rFonts w:hint="default" w:ascii="Times New Roman" w:hAnsi="Times New Roman" w:eastAsia="仿宋_GB2312" w:cs="Times New Roman"/>
          <w:color w:val="auto"/>
          <w:kern w:val="0"/>
          <w:sz w:val="32"/>
          <w:szCs w:val="32"/>
          <w:lang w:val="en-US" w:eastAsia="zh-CN" w:bidi="ar-SA"/>
        </w:rPr>
      </w:pPr>
      <w:r>
        <w:rPr>
          <w:rFonts w:hint="default" w:ascii="Times New Roman" w:hAnsi="Times New Roman" w:eastAsia="黑体" w:cs="Times New Roman"/>
          <w:color w:val="000000"/>
          <w:kern w:val="0"/>
          <w:sz w:val="32"/>
          <w:szCs w:val="32"/>
          <w:shd w:val="clear" w:color="auto" w:fill="FFFFFF"/>
          <w:lang w:val="zh-CN" w:eastAsia="zh-CN"/>
        </w:rPr>
        <w:t>一、部门（单位）基本情况</w:t>
      </w:r>
    </w:p>
    <w:p w14:paraId="0C27E144">
      <w:pPr>
        <w:keepNext w:val="0"/>
        <w:keepLines w:val="0"/>
        <w:pageBreakBefore w:val="0"/>
        <w:widowControl/>
        <w:kinsoku/>
        <w:wordWrap/>
        <w:overflowPunct/>
        <w:topLinePunct w:val="0"/>
        <w:autoSpaceDE/>
        <w:autoSpaceDN/>
        <w:bidi w:val="0"/>
        <w:adjustRightInd w:val="0"/>
        <w:snapToGrid w:val="0"/>
        <w:spacing w:line="600" w:lineRule="exact"/>
        <w:ind w:firstLine="640" w:firstLineChars="200"/>
        <w:contextualSpacing/>
        <w:jc w:val="left"/>
        <w:textAlignment w:val="auto"/>
        <w:rPr>
          <w:rFonts w:hint="default" w:ascii="Times New Roman" w:hAnsi="Times New Roman" w:eastAsia="楷体_GB2312" w:cs="Times New Roman"/>
          <w:b/>
          <w:bCs/>
          <w:color w:val="000000"/>
          <w:kern w:val="0"/>
          <w:sz w:val="32"/>
          <w:szCs w:val="32"/>
          <w:shd w:val="clear" w:color="auto" w:fill="FFFFFF"/>
          <w:lang w:val="zh-CN"/>
        </w:rPr>
      </w:pPr>
      <w:r>
        <w:rPr>
          <w:rFonts w:hint="default" w:ascii="Times New Roman" w:hAnsi="Times New Roman" w:eastAsia="楷体_GB2312" w:cs="Times New Roman"/>
          <w:b/>
          <w:bCs/>
          <w:color w:val="000000"/>
          <w:kern w:val="0"/>
          <w:sz w:val="32"/>
          <w:szCs w:val="32"/>
          <w:shd w:val="clear" w:color="auto" w:fill="FFFFFF"/>
          <w:lang w:val="zh-CN"/>
        </w:rPr>
        <w:t>（一）机构组成</w:t>
      </w:r>
    </w:p>
    <w:p w14:paraId="15A66B17">
      <w:pPr>
        <w:keepNext w:val="0"/>
        <w:keepLines w:val="0"/>
        <w:pageBreakBefore w:val="0"/>
        <w:widowControl/>
        <w:kinsoku/>
        <w:wordWrap/>
        <w:overflowPunct/>
        <w:topLinePunct w:val="0"/>
        <w:autoSpaceDE/>
        <w:autoSpaceDN/>
        <w:bidi w:val="0"/>
        <w:adjustRightInd w:val="0"/>
        <w:snapToGrid w:val="0"/>
        <w:spacing w:line="600" w:lineRule="exact"/>
        <w:ind w:firstLine="640" w:firstLineChars="200"/>
        <w:contextualSpacing/>
        <w:jc w:val="both"/>
        <w:textAlignment w:val="auto"/>
        <w:rPr>
          <w:rFonts w:hint="default" w:ascii="Times New Roman" w:hAnsi="Times New Roman" w:eastAsia="仿宋_GB2312" w:cs="Times New Roman"/>
          <w:color w:val="auto"/>
          <w:kern w:val="0"/>
          <w:sz w:val="32"/>
          <w:szCs w:val="32"/>
          <w:lang w:val="zh-CN" w:eastAsia="zh-CN" w:bidi="ar-SA"/>
        </w:rPr>
      </w:pPr>
      <w:r>
        <w:rPr>
          <w:rFonts w:hint="default" w:ascii="Times New Roman" w:hAnsi="Times New Roman" w:eastAsia="仿宋_GB2312" w:cs="Times New Roman"/>
          <w:color w:val="auto"/>
          <w:kern w:val="0"/>
          <w:sz w:val="32"/>
          <w:szCs w:val="32"/>
          <w:lang w:val="zh-CN" w:eastAsia="zh-CN" w:bidi="ar-SA"/>
        </w:rPr>
        <w:t>攀枝花市社会保险事务中心是攀枝花市人力资源和社会保障局下属参照公务员法管理的事业单位，内设十科一室。</w:t>
      </w:r>
    </w:p>
    <w:p w14:paraId="5E296FF0">
      <w:pPr>
        <w:keepNext w:val="0"/>
        <w:keepLines w:val="0"/>
        <w:pageBreakBefore w:val="0"/>
        <w:numPr>
          <w:ilvl w:val="0"/>
          <w:numId w:val="1"/>
        </w:numPr>
        <w:kinsoku/>
        <w:wordWrap/>
        <w:overflowPunct/>
        <w:topLinePunct w:val="0"/>
        <w:autoSpaceDE/>
        <w:autoSpaceDN/>
        <w:bidi w:val="0"/>
        <w:adjustRightInd/>
        <w:spacing w:line="600" w:lineRule="exact"/>
        <w:ind w:firstLine="640" w:firstLineChars="200"/>
        <w:textAlignment w:val="auto"/>
        <w:rPr>
          <w:rFonts w:hint="default" w:ascii="Times New Roman" w:hAnsi="Times New Roman" w:eastAsia="楷体_GB2312" w:cs="Times New Roman"/>
          <w:b/>
          <w:bCs/>
          <w:color w:val="000000"/>
          <w:kern w:val="0"/>
          <w:sz w:val="32"/>
          <w:szCs w:val="32"/>
          <w:shd w:val="clear" w:color="auto" w:fill="FFFFFF"/>
          <w:lang w:val="zh-CN"/>
        </w:rPr>
      </w:pPr>
      <w:r>
        <w:rPr>
          <w:rFonts w:hint="default" w:ascii="Times New Roman" w:hAnsi="Times New Roman" w:eastAsia="楷体_GB2312" w:cs="Times New Roman"/>
          <w:b/>
          <w:bCs/>
          <w:color w:val="000000"/>
          <w:kern w:val="0"/>
          <w:sz w:val="32"/>
          <w:szCs w:val="32"/>
          <w:shd w:val="clear" w:color="auto" w:fill="FFFFFF"/>
          <w:lang w:val="zh-CN"/>
        </w:rPr>
        <w:t>机构职能</w:t>
      </w:r>
    </w:p>
    <w:p w14:paraId="53AE5B71">
      <w:pPr>
        <w:keepNext w:val="0"/>
        <w:keepLines w:val="0"/>
        <w:pageBreakBefore w:val="0"/>
        <w:numPr>
          <w:ilvl w:val="0"/>
          <w:numId w:val="0"/>
        </w:numPr>
        <w:kinsoku/>
        <w:wordWrap/>
        <w:overflowPunct/>
        <w:topLinePunct w:val="0"/>
        <w:autoSpaceDE/>
        <w:autoSpaceDN/>
        <w:bidi w:val="0"/>
        <w:adjustRightInd/>
        <w:spacing w:line="600" w:lineRule="exact"/>
        <w:ind w:firstLine="640" w:firstLineChars="200"/>
        <w:jc w:val="both"/>
        <w:textAlignment w:val="auto"/>
        <w:rPr>
          <w:rFonts w:hint="default" w:ascii="Times New Roman" w:hAnsi="Times New Roman" w:eastAsia="仿宋_GB2312" w:cs="Times New Roman"/>
          <w:b/>
          <w:sz w:val="32"/>
          <w:szCs w:val="32"/>
          <w:highlight w:val="none"/>
        </w:rPr>
      </w:pPr>
      <w:r>
        <w:rPr>
          <w:rFonts w:hint="default" w:ascii="Times New Roman" w:hAnsi="Times New Roman" w:eastAsia="仿宋_GB2312" w:cs="Times New Roman"/>
          <w:color w:val="auto"/>
          <w:kern w:val="0"/>
          <w:sz w:val="32"/>
          <w:szCs w:val="32"/>
          <w:lang w:val="zh-CN" w:eastAsia="zh-CN" w:bidi="ar-SA"/>
        </w:rPr>
        <w:t>攀枝花市社会保险事务中心主要职责为受理城镇应参加养老保险单位和个人的社会保险登记、申报管理。承担机关事业单位职业年金的征缴工作，承担养老保险管理工作。按规定核准和支付参保人员的养老保险待遇。建立和管理参保单位和个人缴费记录。开展与</w:t>
      </w:r>
      <w:r>
        <w:rPr>
          <w:rFonts w:hint="default" w:ascii="Times New Roman" w:hAnsi="Times New Roman" w:eastAsia="仿宋_GB2312" w:cs="Times New Roman"/>
          <w:sz w:val="32"/>
          <w:szCs w:val="32"/>
        </w:rPr>
        <w:t>养老保险费征缴有关稽核工作。具体指导全市企业离退休人员社会化管理服务工作。负责组织实施全市机关事业单位养老保险社会统筹、制定和完善业务经办流程及内部控制管理制度、统一基金收支管理和离退休人员养老金发放。负责市本级机关事业单位参保登记、申报缴费、关系转移接续、个人账户和职业年金账户的建立管理、退休待遇核定、社会保险稽核和基金管理。指导各县（区）社保经办机构开展相关工作。承担工伤保险经办管理、市本级工伤保险单位行业风险类别及单位缴费率核定、编制工伤保险支付计划及劳动能力鉴定服务工作。负责指导全市工伤保险经办工作。组织实施全市工伤保险预防工作。</w:t>
      </w:r>
    </w:p>
    <w:p w14:paraId="1C4EEB0F">
      <w:pPr>
        <w:keepNext w:val="0"/>
        <w:keepLines w:val="0"/>
        <w:pageBreakBefore w:val="0"/>
        <w:widowControl/>
        <w:numPr>
          <w:ilvl w:val="0"/>
          <w:numId w:val="1"/>
        </w:numPr>
        <w:kinsoku/>
        <w:wordWrap/>
        <w:overflowPunct/>
        <w:topLinePunct w:val="0"/>
        <w:autoSpaceDE/>
        <w:autoSpaceDN/>
        <w:bidi w:val="0"/>
        <w:adjustRightInd w:val="0"/>
        <w:snapToGrid w:val="0"/>
        <w:spacing w:line="600" w:lineRule="exact"/>
        <w:ind w:left="0" w:leftChars="0" w:firstLine="640" w:firstLineChars="200"/>
        <w:contextualSpacing/>
        <w:jc w:val="left"/>
        <w:textAlignment w:val="auto"/>
        <w:rPr>
          <w:rFonts w:hint="default" w:ascii="Times New Roman" w:hAnsi="Times New Roman" w:eastAsia="楷体_GB2312" w:cs="Times New Roman"/>
          <w:b/>
          <w:bCs/>
          <w:color w:val="000000"/>
          <w:kern w:val="0"/>
          <w:sz w:val="32"/>
          <w:szCs w:val="32"/>
          <w:shd w:val="clear" w:color="auto" w:fill="FFFFFF"/>
          <w:lang w:val="zh-CN"/>
        </w:rPr>
      </w:pPr>
      <w:r>
        <w:rPr>
          <w:rFonts w:hint="default" w:ascii="Times New Roman" w:hAnsi="Times New Roman" w:eastAsia="楷体_GB2312" w:cs="Times New Roman"/>
          <w:b/>
          <w:bCs/>
          <w:color w:val="000000"/>
          <w:kern w:val="0"/>
          <w:sz w:val="32"/>
          <w:szCs w:val="32"/>
          <w:shd w:val="clear" w:color="auto" w:fill="FFFFFF"/>
          <w:lang w:val="zh-CN"/>
        </w:rPr>
        <w:t>人员概况</w:t>
      </w:r>
    </w:p>
    <w:p w14:paraId="3259A8DB">
      <w:pPr>
        <w:keepNext w:val="0"/>
        <w:keepLines w:val="0"/>
        <w:pageBreakBefore w:val="0"/>
        <w:widowControl/>
        <w:kinsoku/>
        <w:wordWrap/>
        <w:overflowPunct/>
        <w:topLinePunct w:val="0"/>
        <w:autoSpaceDE/>
        <w:autoSpaceDN/>
        <w:bidi w:val="0"/>
        <w:adjustRightInd w:val="0"/>
        <w:snapToGrid w:val="0"/>
        <w:spacing w:line="600" w:lineRule="exact"/>
        <w:ind w:firstLine="640" w:firstLineChars="200"/>
        <w:contextualSpacing/>
        <w:jc w:val="both"/>
        <w:textAlignment w:val="auto"/>
        <w:rPr>
          <w:rFonts w:hint="default" w:ascii="Times New Roman" w:hAnsi="Times New Roman" w:eastAsia="仿宋_GB2312" w:cs="Times New Roman"/>
          <w:color w:val="auto"/>
          <w:kern w:val="0"/>
          <w:sz w:val="32"/>
          <w:szCs w:val="32"/>
          <w:lang w:val="zh-CN" w:eastAsia="zh-CN" w:bidi="ar-SA"/>
        </w:rPr>
      </w:pPr>
      <w:r>
        <w:rPr>
          <w:rFonts w:hint="default" w:ascii="Times New Roman" w:hAnsi="Times New Roman" w:eastAsia="仿宋_GB2312" w:cs="Times New Roman"/>
          <w:color w:val="auto"/>
          <w:kern w:val="0"/>
          <w:sz w:val="32"/>
          <w:szCs w:val="32"/>
          <w:lang w:val="en-US" w:eastAsia="zh-CN" w:bidi="ar-SA"/>
        </w:rPr>
        <w:t>截至2024年末，攀枝花市社会保险事务中心核定人员编制数61人，实有在编人员58人，退休人员33人。根据工作需要另外聘用人员12人。</w:t>
      </w:r>
    </w:p>
    <w:p w14:paraId="0CC53333">
      <w:pPr>
        <w:keepNext w:val="0"/>
        <w:keepLines w:val="0"/>
        <w:pageBreakBefore w:val="0"/>
        <w:widowControl/>
        <w:kinsoku/>
        <w:wordWrap/>
        <w:overflowPunct/>
        <w:topLinePunct w:val="0"/>
        <w:autoSpaceDE/>
        <w:autoSpaceDN/>
        <w:bidi w:val="0"/>
        <w:adjustRightInd w:val="0"/>
        <w:snapToGrid w:val="0"/>
        <w:spacing w:line="600" w:lineRule="exact"/>
        <w:ind w:firstLine="640" w:firstLineChars="200"/>
        <w:contextualSpacing/>
        <w:jc w:val="both"/>
        <w:textAlignment w:val="auto"/>
        <w:rPr>
          <w:rFonts w:hint="default" w:ascii="Times New Roman" w:hAnsi="Times New Roman" w:eastAsia="黑体" w:cs="Times New Roman"/>
          <w:color w:val="000000"/>
          <w:kern w:val="0"/>
          <w:sz w:val="32"/>
          <w:szCs w:val="32"/>
          <w:shd w:val="clear" w:color="auto" w:fill="FFFFFF"/>
        </w:rPr>
      </w:pPr>
      <w:r>
        <w:rPr>
          <w:rFonts w:hint="default" w:ascii="Times New Roman" w:hAnsi="Times New Roman" w:eastAsia="黑体" w:cs="Times New Roman"/>
          <w:color w:val="000000"/>
          <w:kern w:val="0"/>
          <w:sz w:val="32"/>
          <w:szCs w:val="32"/>
          <w:shd w:val="clear" w:color="auto" w:fill="FFFFFF"/>
        </w:rPr>
        <w:t>二、部门资金收支情况</w:t>
      </w:r>
    </w:p>
    <w:p w14:paraId="41E5A2F0">
      <w:pPr>
        <w:keepNext w:val="0"/>
        <w:keepLines w:val="0"/>
        <w:pageBreakBefore w:val="0"/>
        <w:widowControl/>
        <w:kinsoku/>
        <w:wordWrap/>
        <w:overflowPunct/>
        <w:topLinePunct w:val="0"/>
        <w:autoSpaceDE/>
        <w:autoSpaceDN/>
        <w:bidi w:val="0"/>
        <w:adjustRightInd w:val="0"/>
        <w:snapToGrid w:val="0"/>
        <w:spacing w:line="600" w:lineRule="exact"/>
        <w:ind w:firstLine="640" w:firstLineChars="200"/>
        <w:contextualSpacing/>
        <w:jc w:val="both"/>
        <w:textAlignment w:val="auto"/>
        <w:rPr>
          <w:rFonts w:hint="default" w:ascii="Times New Roman" w:hAnsi="Times New Roman" w:eastAsia="楷体_GB2312" w:cs="Times New Roman"/>
          <w:b/>
          <w:bCs/>
          <w:color w:val="000000"/>
          <w:kern w:val="0"/>
          <w:sz w:val="32"/>
          <w:szCs w:val="32"/>
          <w:shd w:val="clear" w:color="auto" w:fill="FFFFFF"/>
          <w:lang w:val="zh-CN"/>
        </w:rPr>
      </w:pPr>
      <w:r>
        <w:rPr>
          <w:rFonts w:hint="default" w:ascii="Times New Roman" w:hAnsi="Times New Roman" w:eastAsia="楷体_GB2312" w:cs="Times New Roman"/>
          <w:b/>
          <w:bCs/>
          <w:color w:val="000000"/>
          <w:kern w:val="0"/>
          <w:sz w:val="32"/>
          <w:szCs w:val="32"/>
          <w:shd w:val="clear" w:color="auto" w:fill="FFFFFF"/>
          <w:lang w:val="zh-CN"/>
        </w:rPr>
        <w:t>（一）收入情况</w:t>
      </w:r>
    </w:p>
    <w:p w14:paraId="005349F1">
      <w:pPr>
        <w:keepNext w:val="0"/>
        <w:keepLines w:val="0"/>
        <w:pageBreakBefore w:val="0"/>
        <w:widowControl/>
        <w:kinsoku/>
        <w:wordWrap/>
        <w:overflowPunct/>
        <w:topLinePunct w:val="0"/>
        <w:autoSpaceDE/>
        <w:autoSpaceDN/>
        <w:bidi w:val="0"/>
        <w:adjustRightInd w:val="0"/>
        <w:snapToGrid w:val="0"/>
        <w:spacing w:line="600" w:lineRule="exact"/>
        <w:ind w:firstLine="640" w:firstLineChars="200"/>
        <w:contextualSpacing/>
        <w:jc w:val="both"/>
        <w:textAlignment w:val="auto"/>
        <w:rPr>
          <w:rFonts w:hint="default" w:ascii="Times New Roman" w:hAnsi="Times New Roman" w:eastAsia="仿宋_GB2312" w:cs="Times New Roman"/>
          <w:color w:val="auto"/>
          <w:kern w:val="0"/>
          <w:sz w:val="32"/>
          <w:szCs w:val="32"/>
          <w:lang w:val="en-US" w:eastAsia="zh-CN" w:bidi="ar-SA"/>
        </w:rPr>
      </w:pPr>
      <w:r>
        <w:rPr>
          <w:rFonts w:hint="default" w:ascii="Times New Roman" w:hAnsi="Times New Roman" w:eastAsia="仿宋_GB2312" w:cs="Times New Roman"/>
          <w:color w:val="auto"/>
          <w:kern w:val="0"/>
          <w:sz w:val="32"/>
          <w:szCs w:val="32"/>
          <w:lang w:val="en-US" w:eastAsia="zh-CN" w:bidi="ar-SA"/>
        </w:rPr>
        <w:t>攀枝花市社会保险事务中心2024年初预算收入1474.61万元。2024年决算报表中本年收入1482.05万元，其中：行政运行922.57万元，占62.25%；社会保险经办机构139.97万元，占9.44%；其他人力资源和社会保障管理事务16.8万元，占1.13%；行政单位离退休100.12万元，占6.76%；机关事业单位基本养老保险缴费110.66万元，占7.47%；机关事业单位职业年金缴费22.88万元，占1.54%；行政单位医疗62.24万元，占4.2%；公务员医疗补助7.03万元，占0.47%；其他行政事业单位医疗8.08万元，占0.55%；住房公积金91.71万元，占6.19%。</w:t>
      </w:r>
    </w:p>
    <w:p w14:paraId="507A4AEE">
      <w:pPr>
        <w:keepNext w:val="0"/>
        <w:keepLines w:val="0"/>
        <w:pageBreakBefore w:val="0"/>
        <w:widowControl/>
        <w:numPr>
          <w:ilvl w:val="0"/>
          <w:numId w:val="2"/>
        </w:numPr>
        <w:kinsoku/>
        <w:wordWrap/>
        <w:overflowPunct/>
        <w:topLinePunct w:val="0"/>
        <w:autoSpaceDE/>
        <w:autoSpaceDN/>
        <w:bidi w:val="0"/>
        <w:adjustRightInd w:val="0"/>
        <w:snapToGrid w:val="0"/>
        <w:spacing w:line="600" w:lineRule="exact"/>
        <w:ind w:firstLine="640" w:firstLineChars="200"/>
        <w:contextualSpacing/>
        <w:jc w:val="left"/>
        <w:textAlignment w:val="auto"/>
        <w:rPr>
          <w:rFonts w:hint="default" w:ascii="Times New Roman" w:hAnsi="Times New Roman" w:eastAsia="楷体_GB2312" w:cs="Times New Roman"/>
          <w:b/>
          <w:bCs/>
          <w:color w:val="000000"/>
          <w:kern w:val="0"/>
          <w:sz w:val="32"/>
          <w:szCs w:val="32"/>
          <w:shd w:val="clear" w:color="auto" w:fill="FFFFFF"/>
          <w:lang w:val="zh-CN"/>
        </w:rPr>
      </w:pPr>
      <w:r>
        <w:rPr>
          <w:rFonts w:hint="default" w:ascii="Times New Roman" w:hAnsi="Times New Roman" w:eastAsia="楷体_GB2312" w:cs="Times New Roman"/>
          <w:b/>
          <w:bCs/>
          <w:color w:val="000000"/>
          <w:kern w:val="0"/>
          <w:sz w:val="32"/>
          <w:szCs w:val="32"/>
          <w:shd w:val="clear" w:color="auto" w:fill="FFFFFF"/>
          <w:lang w:val="zh-CN"/>
        </w:rPr>
        <w:t>支出情况</w:t>
      </w:r>
    </w:p>
    <w:p w14:paraId="0810DE69">
      <w:pPr>
        <w:keepNext w:val="0"/>
        <w:keepLines w:val="0"/>
        <w:pageBreakBefore w:val="0"/>
        <w:widowControl/>
        <w:kinsoku/>
        <w:wordWrap/>
        <w:overflowPunct/>
        <w:topLinePunct w:val="0"/>
        <w:autoSpaceDE/>
        <w:autoSpaceDN/>
        <w:bidi w:val="0"/>
        <w:adjustRightInd w:val="0"/>
        <w:snapToGrid w:val="0"/>
        <w:spacing w:line="600" w:lineRule="exact"/>
        <w:ind w:firstLine="640" w:firstLineChars="200"/>
        <w:contextualSpacing/>
        <w:jc w:val="both"/>
        <w:textAlignment w:val="auto"/>
        <w:rPr>
          <w:rFonts w:hint="default" w:ascii="Times New Roman" w:hAnsi="Times New Roman" w:eastAsia="仿宋_GB2312" w:cs="Times New Roman"/>
          <w:color w:val="auto"/>
          <w:kern w:val="0"/>
          <w:sz w:val="32"/>
          <w:szCs w:val="32"/>
          <w:lang w:val="en-US" w:eastAsia="zh-CN" w:bidi="ar-SA"/>
        </w:rPr>
      </w:pPr>
      <w:r>
        <w:rPr>
          <w:rFonts w:hint="default" w:ascii="Times New Roman" w:hAnsi="Times New Roman" w:eastAsia="仿宋_GB2312" w:cs="Times New Roman"/>
          <w:color w:val="auto"/>
          <w:kern w:val="0"/>
          <w:sz w:val="32"/>
          <w:szCs w:val="32"/>
          <w:lang w:val="en-US" w:eastAsia="zh-CN" w:bidi="ar-SA"/>
        </w:rPr>
        <w:t>攀枝花市社会保险事务中心2024年初预算支出1474.61万元。2024年决算报表中本年支出1482.05万元，其中：行政运行922.57万元，占62.25%；社会保险经办机构139.97万元，占9.44%；其他人力资源和社会保障管理事务16.8万元，占1.13%；行政单位离退休100.12万元，占6.76%；机关事业单位基本养老保险缴费110.66万元，占7.47%；机关事业单位职业年金缴费22.88万元，占1.54%；行政单位医疗62.24万元，占4.2%；公务员医疗补助7.03万元，占0.47%；其他行政事业单位医疗8.08万元，占0.55%；住房公积金91.71万元，占6.19%。</w:t>
      </w:r>
    </w:p>
    <w:p w14:paraId="5679BF4E">
      <w:pPr>
        <w:keepNext w:val="0"/>
        <w:keepLines w:val="0"/>
        <w:pageBreakBefore w:val="0"/>
        <w:widowControl/>
        <w:kinsoku/>
        <w:wordWrap/>
        <w:overflowPunct/>
        <w:topLinePunct w:val="0"/>
        <w:autoSpaceDE/>
        <w:autoSpaceDN/>
        <w:bidi w:val="0"/>
        <w:adjustRightInd w:val="0"/>
        <w:snapToGrid w:val="0"/>
        <w:spacing w:line="600" w:lineRule="exact"/>
        <w:ind w:firstLine="640" w:firstLineChars="200"/>
        <w:contextualSpacing/>
        <w:jc w:val="both"/>
        <w:textAlignment w:val="auto"/>
        <w:rPr>
          <w:rFonts w:hint="default" w:ascii="Times New Roman" w:hAnsi="Times New Roman" w:eastAsia="仿宋_GB2312" w:cs="Times New Roman"/>
          <w:color w:val="auto"/>
          <w:kern w:val="0"/>
          <w:sz w:val="32"/>
          <w:szCs w:val="32"/>
          <w:lang w:val="en-US" w:eastAsia="zh-CN" w:bidi="ar-SA"/>
        </w:rPr>
      </w:pPr>
      <w:r>
        <w:rPr>
          <w:rFonts w:hint="default" w:ascii="Times New Roman" w:hAnsi="Times New Roman" w:eastAsia="仿宋_GB2312" w:cs="Times New Roman"/>
          <w:color w:val="auto"/>
          <w:kern w:val="0"/>
          <w:sz w:val="32"/>
          <w:szCs w:val="32"/>
          <w:lang w:val="en-US" w:eastAsia="zh-CN" w:bidi="ar-SA"/>
        </w:rPr>
        <w:t>2024年，全市社会保险经办工作以习近平新时代中国特色社会主义思想为指导，深入学习贯彻党的二十大、二十届三中全会和习近平总书记对社会保障工作指示精神，全面落实省委十二届六次全会精神、市委十一届七次全会精神，不断强化运行管理、优化经办服务，巩固深化标准化、信息化成果，大力推进精细化、数字化、智能化、专业化建设，推动社保经办工作高质量可持续发展，兜住、兜准、兜牢民生底线，为建设高质量发展攀枝花共同富裕试验区贡献社保力量。</w:t>
      </w:r>
    </w:p>
    <w:p w14:paraId="1E1ABBEE">
      <w:pPr>
        <w:keepNext w:val="0"/>
        <w:keepLines w:val="0"/>
        <w:pageBreakBefore w:val="0"/>
        <w:widowControl/>
        <w:kinsoku/>
        <w:wordWrap/>
        <w:overflowPunct/>
        <w:topLinePunct w:val="0"/>
        <w:autoSpaceDE/>
        <w:autoSpaceDN/>
        <w:bidi w:val="0"/>
        <w:adjustRightInd w:val="0"/>
        <w:snapToGrid w:val="0"/>
        <w:spacing w:line="600" w:lineRule="exact"/>
        <w:ind w:firstLine="640" w:firstLineChars="200"/>
        <w:contextualSpacing/>
        <w:jc w:val="both"/>
        <w:textAlignment w:val="auto"/>
        <w:rPr>
          <w:rFonts w:hint="default" w:ascii="Times New Roman" w:hAnsi="Times New Roman" w:eastAsia="仿宋_GB2312" w:cs="Times New Roman"/>
          <w:color w:val="auto"/>
          <w:kern w:val="0"/>
          <w:sz w:val="32"/>
          <w:szCs w:val="32"/>
          <w:lang w:val="en-US" w:eastAsia="zh-CN" w:bidi="ar-SA"/>
        </w:rPr>
      </w:pPr>
      <w:r>
        <w:rPr>
          <w:rFonts w:hint="default" w:ascii="Times New Roman" w:hAnsi="Times New Roman" w:eastAsia="仿宋_GB2312" w:cs="Times New Roman"/>
          <w:color w:val="auto"/>
          <w:kern w:val="0"/>
          <w:sz w:val="32"/>
          <w:szCs w:val="32"/>
          <w:lang w:val="en-US" w:eastAsia="zh-CN" w:bidi="ar-SA"/>
        </w:rPr>
        <w:t>1.紧盯重点，推进全民参保。一是强化政策宣传。深入开展 “社保服务进万家”活动，有效提高用人单位和群众参保缴费意识。二是探索扩面提质行动。积极探索集体经济补助城乡居民基本养老保险参保缴费试点推动城乡居民养老保险扩面提质，为促进共同富裕提供新的保障措施。三是开展重点群体精准扩面。依托部门间交换数据，摸清参保人员底数，对农民工、灵活就业人员、新就业形态就业人员、有经济实力农村居民等重点群体精准实施政策宣传，积极引导参加养老保险。截至2024年12月底，全市养老保险参保人数82.34万人；工伤保险参保人数26.46万人。</w:t>
      </w:r>
    </w:p>
    <w:p w14:paraId="5B446A15">
      <w:pPr>
        <w:keepNext w:val="0"/>
        <w:keepLines w:val="0"/>
        <w:pageBreakBefore w:val="0"/>
        <w:widowControl/>
        <w:kinsoku/>
        <w:wordWrap/>
        <w:overflowPunct/>
        <w:topLinePunct w:val="0"/>
        <w:autoSpaceDE/>
        <w:autoSpaceDN/>
        <w:bidi w:val="0"/>
        <w:adjustRightInd w:val="0"/>
        <w:snapToGrid w:val="0"/>
        <w:spacing w:line="600" w:lineRule="exact"/>
        <w:ind w:firstLine="640" w:firstLineChars="200"/>
        <w:contextualSpacing/>
        <w:jc w:val="both"/>
        <w:textAlignment w:val="auto"/>
        <w:rPr>
          <w:rFonts w:hint="default" w:ascii="Times New Roman" w:hAnsi="Times New Roman" w:eastAsia="仿宋_GB2312" w:cs="Times New Roman"/>
          <w:color w:val="auto"/>
          <w:kern w:val="0"/>
          <w:sz w:val="32"/>
          <w:szCs w:val="32"/>
          <w:lang w:val="en-US" w:eastAsia="zh-CN" w:bidi="ar-SA"/>
        </w:rPr>
      </w:pPr>
      <w:r>
        <w:rPr>
          <w:rFonts w:hint="default" w:ascii="Times New Roman" w:hAnsi="Times New Roman" w:eastAsia="仿宋_GB2312" w:cs="Times New Roman"/>
          <w:color w:val="auto"/>
          <w:kern w:val="0"/>
          <w:sz w:val="32"/>
          <w:szCs w:val="32"/>
          <w:lang w:val="en-US" w:eastAsia="zh-CN" w:bidi="ar-SA"/>
        </w:rPr>
        <w:t>2.积极争取，保障待遇到位。坚决扛起社保待遇按时足额发放的政治责任，积极向上争取资金支持，保障退休人员基本养老金和工伤人员待遇按时足额发放，让参保人员共享改革发展成果。截至2024年12月底，</w:t>
      </w:r>
      <w:r>
        <w:rPr>
          <w:rFonts w:hint="eastAsia" w:ascii="Times New Roman" w:hAnsi="Times New Roman" w:eastAsia="仿宋_GB2312" w:cs="Times New Roman"/>
          <w:color w:val="auto"/>
          <w:kern w:val="0"/>
          <w:sz w:val="32"/>
          <w:szCs w:val="32"/>
          <w:lang w:val="en-US" w:eastAsia="zh-CN" w:bidi="ar-SA"/>
        </w:rPr>
        <w:t>按时足额</w:t>
      </w:r>
      <w:r>
        <w:rPr>
          <w:rFonts w:hint="default" w:ascii="Times New Roman" w:hAnsi="Times New Roman" w:eastAsia="仿宋_GB2312" w:cs="Times New Roman"/>
          <w:color w:val="auto"/>
          <w:kern w:val="0"/>
          <w:sz w:val="32"/>
          <w:szCs w:val="32"/>
          <w:lang w:val="en-US" w:eastAsia="zh-CN" w:bidi="ar-SA"/>
        </w:rPr>
        <w:t>为全市32.89万名待遇领取人员发放社保待遇。</w:t>
      </w:r>
    </w:p>
    <w:p w14:paraId="29621EE5">
      <w:pPr>
        <w:keepNext w:val="0"/>
        <w:keepLines w:val="0"/>
        <w:pageBreakBefore w:val="0"/>
        <w:widowControl/>
        <w:kinsoku/>
        <w:wordWrap/>
        <w:overflowPunct/>
        <w:topLinePunct w:val="0"/>
        <w:autoSpaceDE/>
        <w:autoSpaceDN/>
        <w:bidi w:val="0"/>
        <w:adjustRightInd w:val="0"/>
        <w:snapToGrid w:val="0"/>
        <w:spacing w:line="600" w:lineRule="exact"/>
        <w:ind w:firstLine="640" w:firstLineChars="200"/>
        <w:contextualSpacing/>
        <w:jc w:val="both"/>
        <w:textAlignment w:val="auto"/>
        <w:rPr>
          <w:rFonts w:hint="default" w:ascii="Times New Roman" w:hAnsi="Times New Roman" w:eastAsia="仿宋_GB2312" w:cs="Times New Roman"/>
          <w:color w:val="auto"/>
          <w:kern w:val="0"/>
          <w:sz w:val="32"/>
          <w:szCs w:val="32"/>
          <w:lang w:val="en-US" w:eastAsia="zh-CN" w:bidi="ar-SA"/>
        </w:rPr>
      </w:pPr>
      <w:r>
        <w:rPr>
          <w:rFonts w:hint="default" w:ascii="Times New Roman" w:hAnsi="Times New Roman" w:eastAsia="仿宋_GB2312" w:cs="Times New Roman"/>
          <w:color w:val="auto"/>
          <w:kern w:val="0"/>
          <w:sz w:val="32"/>
          <w:szCs w:val="32"/>
          <w:lang w:val="en-US" w:eastAsia="zh-CN" w:bidi="ar-SA"/>
        </w:rPr>
        <w:t>3.严格执行，调待精准落实。圆满完成全市25.45万名退休人员和7.6万名城乡居保领取待遇人员基本养老金调整工作。</w:t>
      </w:r>
    </w:p>
    <w:p w14:paraId="3BD6D47C">
      <w:pPr>
        <w:keepNext w:val="0"/>
        <w:keepLines w:val="0"/>
        <w:pageBreakBefore w:val="0"/>
        <w:widowControl/>
        <w:kinsoku/>
        <w:wordWrap/>
        <w:overflowPunct/>
        <w:topLinePunct w:val="0"/>
        <w:autoSpaceDE/>
        <w:autoSpaceDN/>
        <w:bidi w:val="0"/>
        <w:adjustRightInd w:val="0"/>
        <w:snapToGrid w:val="0"/>
        <w:spacing w:line="600" w:lineRule="exact"/>
        <w:ind w:firstLine="640" w:firstLineChars="200"/>
        <w:contextualSpacing/>
        <w:jc w:val="both"/>
        <w:textAlignment w:val="auto"/>
        <w:rPr>
          <w:rFonts w:hint="default" w:ascii="Times New Roman" w:hAnsi="Times New Roman" w:eastAsia="仿宋_GB2312" w:cs="Times New Roman"/>
          <w:color w:val="auto"/>
          <w:kern w:val="0"/>
          <w:sz w:val="32"/>
          <w:szCs w:val="32"/>
          <w:lang w:val="en-US" w:eastAsia="zh-CN" w:bidi="ar-SA"/>
        </w:rPr>
      </w:pPr>
      <w:r>
        <w:rPr>
          <w:rFonts w:hint="default" w:ascii="Times New Roman" w:hAnsi="Times New Roman" w:eastAsia="仿宋_GB2312" w:cs="Times New Roman"/>
          <w:color w:val="auto"/>
          <w:kern w:val="0"/>
          <w:sz w:val="32"/>
          <w:szCs w:val="32"/>
          <w:lang w:val="en-US" w:eastAsia="zh-CN" w:bidi="ar-SA"/>
        </w:rPr>
        <w:t>4.多措并举，确保改革落地。为认真贯彻落实好党中央延迟退休改革作出的重大部署，按照“全国一盘棋”要求，全力以赴，协同配合，坚持凝聚社会共识推动改革在我市顺利进行。建立了市政府领导、26个市级部门参加的专项工作机制，并指导5个县（区)相应建立工作机制。按照全域全员、分层分类、注重实效原则，开展政策培训。</w:t>
      </w:r>
    </w:p>
    <w:p w14:paraId="78817B38">
      <w:pPr>
        <w:keepNext w:val="0"/>
        <w:keepLines w:val="0"/>
        <w:pageBreakBefore w:val="0"/>
        <w:widowControl/>
        <w:kinsoku/>
        <w:wordWrap/>
        <w:overflowPunct/>
        <w:topLinePunct w:val="0"/>
        <w:autoSpaceDE/>
        <w:autoSpaceDN/>
        <w:bidi w:val="0"/>
        <w:adjustRightInd w:val="0"/>
        <w:snapToGrid w:val="0"/>
        <w:spacing w:line="600" w:lineRule="exact"/>
        <w:ind w:firstLine="640" w:firstLineChars="200"/>
        <w:contextualSpacing/>
        <w:jc w:val="both"/>
        <w:textAlignment w:val="auto"/>
        <w:rPr>
          <w:rFonts w:hint="default" w:ascii="Times New Roman" w:hAnsi="Times New Roman" w:eastAsia="仿宋_GB2312" w:cs="Times New Roman"/>
          <w:color w:val="auto"/>
          <w:kern w:val="0"/>
          <w:sz w:val="32"/>
          <w:szCs w:val="32"/>
          <w:lang w:val="en-US" w:eastAsia="zh-CN" w:bidi="ar-SA"/>
        </w:rPr>
      </w:pPr>
      <w:r>
        <w:rPr>
          <w:rFonts w:hint="default" w:ascii="Times New Roman" w:hAnsi="Times New Roman" w:eastAsia="仿宋_GB2312" w:cs="Times New Roman"/>
          <w:color w:val="auto"/>
          <w:kern w:val="0"/>
          <w:sz w:val="32"/>
          <w:szCs w:val="32"/>
          <w:lang w:val="en-US" w:eastAsia="zh-CN" w:bidi="ar-SA"/>
        </w:rPr>
        <w:t>5.严格规范，抓实全国统筹。按照我省全面贯彻落实企业职工基本养老保险全国统筹改革任务，积极参与我省全国统筹政策修改完善等工作，高质量完成省厅下达的养老保险政策研究等工作任务。紧贴实际，全面梳理省、市政策执行差异，研究明确政策口径，推进业务经办流程及管理规则调整等工作。全面贯彻“退休一件事”高效服务，2024年全市共办理退休11719人,其中特殊工种提前退休1094人。</w:t>
      </w:r>
    </w:p>
    <w:p w14:paraId="4EBDB87E">
      <w:pPr>
        <w:keepNext w:val="0"/>
        <w:keepLines w:val="0"/>
        <w:pageBreakBefore w:val="0"/>
        <w:widowControl/>
        <w:kinsoku/>
        <w:wordWrap/>
        <w:overflowPunct/>
        <w:topLinePunct w:val="0"/>
        <w:autoSpaceDE/>
        <w:autoSpaceDN/>
        <w:bidi w:val="0"/>
        <w:adjustRightInd w:val="0"/>
        <w:snapToGrid w:val="0"/>
        <w:spacing w:line="600" w:lineRule="exact"/>
        <w:ind w:firstLine="640" w:firstLineChars="200"/>
        <w:contextualSpacing/>
        <w:jc w:val="both"/>
        <w:textAlignment w:val="auto"/>
        <w:rPr>
          <w:rFonts w:hint="default" w:ascii="Times New Roman" w:hAnsi="Times New Roman" w:eastAsia="仿宋_GB2312" w:cs="Times New Roman"/>
          <w:color w:val="auto"/>
          <w:kern w:val="0"/>
          <w:sz w:val="32"/>
          <w:szCs w:val="32"/>
          <w:lang w:val="en-US" w:eastAsia="zh-CN" w:bidi="ar-SA"/>
        </w:rPr>
      </w:pPr>
      <w:r>
        <w:rPr>
          <w:rFonts w:hint="default" w:ascii="Times New Roman" w:hAnsi="Times New Roman" w:eastAsia="仿宋_GB2312" w:cs="Times New Roman"/>
          <w:color w:val="auto"/>
          <w:kern w:val="0"/>
          <w:sz w:val="32"/>
          <w:szCs w:val="32"/>
          <w:lang w:val="en-US" w:eastAsia="zh-CN" w:bidi="ar-SA"/>
        </w:rPr>
        <w:t>6.严抓落实，帮扶成效显著。一是严格执行全省工伤保险缴费基准费率。二是严格落实困难群体帮扶政策。为低保对象、特困人员、重度残疾人、原建档立卡人员代缴率100%。</w:t>
      </w:r>
    </w:p>
    <w:p w14:paraId="4D49DA65">
      <w:pPr>
        <w:keepNext w:val="0"/>
        <w:keepLines w:val="0"/>
        <w:pageBreakBefore w:val="0"/>
        <w:widowControl/>
        <w:kinsoku/>
        <w:wordWrap/>
        <w:overflowPunct/>
        <w:topLinePunct w:val="0"/>
        <w:autoSpaceDE/>
        <w:autoSpaceDN/>
        <w:bidi w:val="0"/>
        <w:adjustRightInd w:val="0"/>
        <w:snapToGrid w:val="0"/>
        <w:spacing w:line="600" w:lineRule="exact"/>
        <w:ind w:firstLine="640" w:firstLineChars="200"/>
        <w:contextualSpacing/>
        <w:jc w:val="both"/>
        <w:textAlignment w:val="auto"/>
        <w:rPr>
          <w:rFonts w:hint="default" w:ascii="Times New Roman" w:hAnsi="Times New Roman" w:eastAsia="仿宋_GB2312" w:cs="Times New Roman"/>
          <w:color w:val="auto"/>
          <w:kern w:val="0"/>
          <w:sz w:val="32"/>
          <w:szCs w:val="32"/>
          <w:lang w:val="en-US" w:eastAsia="zh-CN" w:bidi="ar-SA"/>
        </w:rPr>
      </w:pPr>
      <w:r>
        <w:rPr>
          <w:rFonts w:hint="default" w:ascii="Times New Roman" w:hAnsi="Times New Roman" w:eastAsia="仿宋_GB2312" w:cs="Times New Roman"/>
          <w:color w:val="auto"/>
          <w:kern w:val="0"/>
          <w:sz w:val="32"/>
          <w:szCs w:val="32"/>
          <w:lang w:val="en-US" w:eastAsia="zh-CN" w:bidi="ar-SA"/>
        </w:rPr>
        <w:t>7.防控风险，维护基金安全。一是完善风险防控体系。完善社保政策、经办、信息、监督“四位一体”的风险防控体系，提升基金管理水平，切实维护基金安全。 二是加强业务抽查。每月通过风险防控子系统定期或不定期按不低于5%的比例对各类高风险业务开展抽查，促进业务安全规范。三是加强与部门间数据共享，从</w:t>
      </w:r>
      <w:r>
        <w:rPr>
          <w:rFonts w:hint="eastAsia" w:ascii="Times New Roman" w:hAnsi="Times New Roman" w:eastAsia="仿宋_GB2312" w:cs="Times New Roman"/>
          <w:color w:val="auto"/>
          <w:kern w:val="0"/>
          <w:sz w:val="32"/>
          <w:szCs w:val="32"/>
          <w:lang w:val="en-US" w:eastAsia="zh-CN" w:bidi="ar-SA"/>
        </w:rPr>
        <w:t>相关部门</w:t>
      </w:r>
      <w:r>
        <w:rPr>
          <w:rFonts w:hint="default" w:ascii="Times New Roman" w:hAnsi="Times New Roman" w:eastAsia="仿宋_GB2312" w:cs="Times New Roman"/>
          <w:color w:val="auto"/>
          <w:kern w:val="0"/>
          <w:sz w:val="32"/>
          <w:szCs w:val="32"/>
          <w:lang w:val="en-US" w:eastAsia="zh-CN" w:bidi="ar-SA"/>
        </w:rPr>
        <w:t>交换参保人员生存状态异常、身份状态异常、被判处刑罚或被社区矫正的数据，对不应参与调待的社区矫正人员提前置标，规避多发调待金额风险。</w:t>
      </w:r>
    </w:p>
    <w:p w14:paraId="3B826841">
      <w:pPr>
        <w:keepNext w:val="0"/>
        <w:keepLines w:val="0"/>
        <w:pageBreakBefore w:val="0"/>
        <w:widowControl/>
        <w:kinsoku/>
        <w:wordWrap/>
        <w:overflowPunct/>
        <w:topLinePunct w:val="0"/>
        <w:autoSpaceDE/>
        <w:autoSpaceDN/>
        <w:bidi w:val="0"/>
        <w:adjustRightInd w:val="0"/>
        <w:snapToGrid w:val="0"/>
        <w:spacing w:line="600" w:lineRule="exact"/>
        <w:ind w:firstLine="640" w:firstLineChars="200"/>
        <w:contextualSpacing/>
        <w:jc w:val="both"/>
        <w:textAlignment w:val="auto"/>
        <w:rPr>
          <w:rFonts w:hint="default" w:ascii="Times New Roman" w:hAnsi="Times New Roman" w:eastAsia="仿宋_GB2312" w:cs="Times New Roman"/>
          <w:color w:val="auto"/>
          <w:kern w:val="0"/>
          <w:sz w:val="32"/>
          <w:szCs w:val="32"/>
          <w:lang w:val="en-US" w:eastAsia="zh-CN" w:bidi="ar-SA"/>
        </w:rPr>
      </w:pPr>
      <w:r>
        <w:rPr>
          <w:rFonts w:hint="default" w:ascii="Times New Roman" w:hAnsi="Times New Roman" w:eastAsia="仿宋_GB2312" w:cs="Times New Roman"/>
          <w:color w:val="auto"/>
          <w:kern w:val="0"/>
          <w:sz w:val="32"/>
          <w:szCs w:val="32"/>
          <w:lang w:val="en-US" w:eastAsia="zh-CN" w:bidi="ar-SA"/>
        </w:rPr>
        <w:t>8.多管齐下，筑牢工伤“防护堤”。开展煤矿行业工伤预防能力提升培训15期，覆盖“三类人员”1065人；开展定制化工伤预防专题培训32场，覆盖职工1690人；对工伤事故风险较高、职业病危害因素较大的32家中小微企业开展隐患排查工作，排查工伤工伤事故隐患725条。形成工伤预防知识48篇、MG动画12部、宣传标语视频6条、抖音小视频5部，通过广播、电视、微信公众号等平台进行线上宣传；进社区、园区和学校开展线上线下同步宣传12场，进一步增强了广大用人单位和职工的知法、守法和维权意识，有效防范各类工伤事故和职业危害，切实维护了广大职工工伤保险权益。</w:t>
      </w:r>
    </w:p>
    <w:p w14:paraId="040D6151">
      <w:pPr>
        <w:keepNext w:val="0"/>
        <w:keepLines w:val="0"/>
        <w:pageBreakBefore w:val="0"/>
        <w:widowControl/>
        <w:numPr>
          <w:ilvl w:val="0"/>
          <w:numId w:val="2"/>
        </w:numPr>
        <w:kinsoku/>
        <w:wordWrap/>
        <w:overflowPunct/>
        <w:topLinePunct w:val="0"/>
        <w:autoSpaceDE/>
        <w:autoSpaceDN/>
        <w:bidi w:val="0"/>
        <w:adjustRightInd w:val="0"/>
        <w:snapToGrid w:val="0"/>
        <w:spacing w:line="600" w:lineRule="exact"/>
        <w:ind w:left="0" w:leftChars="0" w:firstLine="640" w:firstLineChars="200"/>
        <w:contextualSpacing/>
        <w:jc w:val="left"/>
        <w:textAlignment w:val="auto"/>
        <w:rPr>
          <w:rFonts w:hint="default" w:ascii="Times New Roman" w:hAnsi="Times New Roman" w:eastAsia="楷体_GB2312" w:cs="Times New Roman"/>
          <w:b/>
          <w:sz w:val="32"/>
          <w:szCs w:val="32"/>
        </w:rPr>
      </w:pPr>
      <w:r>
        <w:rPr>
          <w:rFonts w:hint="default" w:ascii="Times New Roman" w:hAnsi="Times New Roman" w:eastAsia="楷体_GB2312" w:cs="Times New Roman"/>
          <w:b/>
          <w:sz w:val="32"/>
          <w:szCs w:val="32"/>
        </w:rPr>
        <w:t>结余分配和结转结余情况</w:t>
      </w:r>
    </w:p>
    <w:p w14:paraId="5757669B">
      <w:pPr>
        <w:keepNext w:val="0"/>
        <w:keepLines w:val="0"/>
        <w:pageBreakBefore w:val="0"/>
        <w:widowControl/>
        <w:kinsoku/>
        <w:wordWrap/>
        <w:overflowPunct/>
        <w:topLinePunct w:val="0"/>
        <w:autoSpaceDE/>
        <w:autoSpaceDN/>
        <w:bidi w:val="0"/>
        <w:adjustRightInd w:val="0"/>
        <w:snapToGrid w:val="0"/>
        <w:spacing w:line="600" w:lineRule="exact"/>
        <w:ind w:firstLine="640" w:firstLineChars="200"/>
        <w:contextualSpacing/>
        <w:jc w:val="both"/>
        <w:textAlignment w:val="auto"/>
        <w:rPr>
          <w:rFonts w:hint="default" w:ascii="Times New Roman" w:hAnsi="Times New Roman" w:eastAsia="仿宋_GB2312" w:cs="Times New Roman"/>
          <w:color w:val="auto"/>
          <w:kern w:val="0"/>
          <w:sz w:val="32"/>
          <w:szCs w:val="32"/>
          <w:lang w:val="zh-CN" w:eastAsia="zh-CN" w:bidi="ar-SA"/>
        </w:rPr>
      </w:pPr>
      <w:r>
        <w:rPr>
          <w:rFonts w:hint="default" w:ascii="Times New Roman" w:hAnsi="Times New Roman" w:eastAsia="仿宋_GB2312" w:cs="Times New Roman"/>
          <w:color w:val="auto"/>
          <w:kern w:val="0"/>
          <w:sz w:val="32"/>
          <w:szCs w:val="32"/>
          <w:lang w:val="en-US" w:eastAsia="zh-CN" w:bidi="ar-SA"/>
        </w:rPr>
        <w:t>攀枝花市社会保险事务中心2024年决算报表中无结转结余。</w:t>
      </w:r>
    </w:p>
    <w:p w14:paraId="0106B355">
      <w:pPr>
        <w:keepNext w:val="0"/>
        <w:keepLines w:val="0"/>
        <w:pageBreakBefore w:val="0"/>
        <w:widowControl/>
        <w:kinsoku/>
        <w:wordWrap/>
        <w:overflowPunct/>
        <w:topLinePunct w:val="0"/>
        <w:autoSpaceDE/>
        <w:autoSpaceDN/>
        <w:bidi w:val="0"/>
        <w:adjustRightInd w:val="0"/>
        <w:snapToGrid w:val="0"/>
        <w:spacing w:line="600" w:lineRule="exact"/>
        <w:ind w:firstLine="640" w:firstLineChars="200"/>
        <w:contextualSpacing/>
        <w:jc w:val="left"/>
        <w:textAlignment w:val="auto"/>
        <w:rPr>
          <w:rFonts w:hint="default" w:ascii="Times New Roman" w:hAnsi="Times New Roman" w:eastAsia="黑体" w:cs="Times New Roman"/>
          <w:color w:val="000000" w:themeColor="text1"/>
          <w:kern w:val="0"/>
          <w:sz w:val="32"/>
          <w:szCs w:val="32"/>
          <w:shd w:val="clear" w:color="auto" w:fill="FFFFFF"/>
          <w14:textFill>
            <w14:solidFill>
              <w14:schemeClr w14:val="tx1"/>
            </w14:solidFill>
          </w14:textFill>
        </w:rPr>
      </w:pPr>
      <w:r>
        <w:rPr>
          <w:rFonts w:hint="default" w:ascii="Times New Roman" w:hAnsi="Times New Roman" w:eastAsia="黑体" w:cs="Times New Roman"/>
          <w:color w:val="000000"/>
          <w:kern w:val="0"/>
          <w:sz w:val="32"/>
          <w:szCs w:val="32"/>
          <w:shd w:val="clear" w:color="auto" w:fill="FFFFFF"/>
        </w:rPr>
        <w:t>三、部门预算绩效分析</w:t>
      </w:r>
    </w:p>
    <w:p w14:paraId="1902B289">
      <w:pPr>
        <w:keepNext w:val="0"/>
        <w:keepLines w:val="0"/>
        <w:pageBreakBefore w:val="0"/>
        <w:kinsoku/>
        <w:wordWrap/>
        <w:overflowPunct/>
        <w:topLinePunct w:val="0"/>
        <w:autoSpaceDE/>
        <w:autoSpaceDN/>
        <w:bidi w:val="0"/>
        <w:adjustRightInd w:val="0"/>
        <w:snapToGrid w:val="0"/>
        <w:spacing w:line="600" w:lineRule="exact"/>
        <w:ind w:firstLine="640" w:firstLineChars="200"/>
        <w:contextualSpacing/>
        <w:jc w:val="left"/>
        <w:textAlignment w:val="auto"/>
        <w:rPr>
          <w:rFonts w:hint="default" w:ascii="Times New Roman" w:hAnsi="Times New Roman" w:cs="Times New Roman"/>
          <w:color w:val="000000"/>
          <w:kern w:val="0"/>
          <w:sz w:val="32"/>
          <w:szCs w:val="32"/>
          <w:shd w:val="clear" w:color="auto" w:fill="FFFFFF"/>
          <w:lang w:val="zh-CN"/>
        </w:rPr>
      </w:pPr>
      <w:r>
        <w:rPr>
          <w:rFonts w:hint="default" w:ascii="Times New Roman" w:hAnsi="Times New Roman" w:eastAsia="楷体_GB2312" w:cs="Times New Roman"/>
          <w:b/>
          <w:bCs/>
          <w:color w:val="000000"/>
          <w:kern w:val="0"/>
          <w:sz w:val="32"/>
          <w:szCs w:val="32"/>
          <w:shd w:val="clear" w:color="auto" w:fill="FFFFFF"/>
          <w:lang w:val="zh-CN"/>
        </w:rPr>
        <w:t>（一）部门预算总体绩效分析</w:t>
      </w:r>
    </w:p>
    <w:p w14:paraId="4C451BEC">
      <w:pPr>
        <w:keepNext w:val="0"/>
        <w:keepLines w:val="0"/>
        <w:pageBreakBefore w:val="0"/>
        <w:numPr>
          <w:ilvl w:val="0"/>
          <w:numId w:val="0"/>
        </w:numPr>
        <w:kinsoku/>
        <w:wordWrap/>
        <w:overflowPunct/>
        <w:topLinePunct w:val="0"/>
        <w:autoSpaceDE/>
        <w:autoSpaceDN/>
        <w:bidi w:val="0"/>
        <w:adjustRightInd w:val="0"/>
        <w:snapToGrid w:val="0"/>
        <w:spacing w:line="600" w:lineRule="exact"/>
        <w:ind w:firstLine="640" w:firstLineChars="200"/>
        <w:contextualSpacing/>
        <w:jc w:val="left"/>
        <w:textAlignment w:val="auto"/>
        <w:rPr>
          <w:rFonts w:hint="default" w:ascii="Times New Roman" w:hAnsi="Times New Roman" w:cs="Times New Roman"/>
          <w:color w:val="000000"/>
          <w:kern w:val="0"/>
          <w:sz w:val="32"/>
          <w:szCs w:val="32"/>
          <w:shd w:val="clear" w:color="auto" w:fill="FFFFFF"/>
          <w:lang w:val="zh-CN"/>
        </w:rPr>
      </w:pPr>
      <w:r>
        <w:rPr>
          <w:rFonts w:hint="default" w:ascii="Times New Roman" w:hAnsi="Times New Roman" w:eastAsia="楷体_GB2312" w:cs="Times New Roman"/>
          <w:color w:val="000000"/>
          <w:kern w:val="0"/>
          <w:sz w:val="32"/>
          <w:szCs w:val="32"/>
          <w:shd w:val="clear" w:color="auto" w:fill="FFFFFF"/>
          <w:lang w:val="en-US" w:eastAsia="zh-CN"/>
        </w:rPr>
        <w:t>1.</w:t>
      </w:r>
      <w:r>
        <w:rPr>
          <w:rFonts w:hint="default" w:ascii="Times New Roman" w:hAnsi="Times New Roman" w:eastAsia="楷体_GB2312" w:cs="Times New Roman"/>
          <w:color w:val="000000"/>
          <w:kern w:val="0"/>
          <w:sz w:val="32"/>
          <w:szCs w:val="32"/>
          <w:shd w:val="clear" w:color="auto" w:fill="FFFFFF"/>
          <w:lang w:val="zh-CN"/>
        </w:rPr>
        <w:t>履职效能。</w:t>
      </w:r>
    </w:p>
    <w:p w14:paraId="2AAB6979">
      <w:pPr>
        <w:keepNext w:val="0"/>
        <w:keepLines w:val="0"/>
        <w:pageBreakBefore w:val="0"/>
        <w:widowControl/>
        <w:kinsoku/>
        <w:wordWrap/>
        <w:overflowPunct/>
        <w:topLinePunct w:val="0"/>
        <w:autoSpaceDE/>
        <w:autoSpaceDN/>
        <w:bidi w:val="0"/>
        <w:adjustRightInd w:val="0"/>
        <w:snapToGrid w:val="0"/>
        <w:spacing w:line="600" w:lineRule="exact"/>
        <w:ind w:firstLine="640" w:firstLineChars="200"/>
        <w:contextualSpacing/>
        <w:jc w:val="both"/>
        <w:textAlignment w:val="auto"/>
        <w:rPr>
          <w:rFonts w:hint="default" w:ascii="Times New Roman" w:hAnsi="Times New Roman" w:eastAsia="仿宋_GB2312" w:cs="Times New Roman"/>
          <w:color w:val="auto"/>
          <w:kern w:val="0"/>
          <w:sz w:val="32"/>
          <w:szCs w:val="32"/>
          <w:lang w:val="en-US" w:eastAsia="zh-CN" w:bidi="ar-SA"/>
        </w:rPr>
      </w:pPr>
      <w:r>
        <w:rPr>
          <w:rFonts w:hint="default" w:ascii="Times New Roman" w:hAnsi="Times New Roman" w:eastAsia="仿宋_GB2312" w:cs="Times New Roman"/>
          <w:color w:val="auto"/>
          <w:kern w:val="0"/>
          <w:sz w:val="32"/>
          <w:szCs w:val="32"/>
          <w:lang w:val="en-US" w:eastAsia="zh-CN" w:bidi="ar-SA"/>
        </w:rPr>
        <w:t>（1）“社保公共服务能力建设资金”项目在当期完成了项目的总体实施，执行率100%。2024年为新增退休人员建立起基础信息，完善了社会化服务管理信息，离退休人员社会化管理率达到100%。全面完成2024年离退休人员领取社保待遇资格认证工作，养老金领取资格认证率达到100%。确保了企业职工基本养老保险全国统筹顺利推进。</w:t>
      </w:r>
    </w:p>
    <w:p w14:paraId="166D0EC9">
      <w:pPr>
        <w:keepNext w:val="0"/>
        <w:keepLines w:val="0"/>
        <w:pageBreakBefore w:val="0"/>
        <w:widowControl/>
        <w:kinsoku/>
        <w:wordWrap/>
        <w:overflowPunct/>
        <w:topLinePunct w:val="0"/>
        <w:autoSpaceDE/>
        <w:autoSpaceDN/>
        <w:bidi w:val="0"/>
        <w:adjustRightInd w:val="0"/>
        <w:snapToGrid w:val="0"/>
        <w:spacing w:line="600" w:lineRule="exact"/>
        <w:ind w:firstLine="640" w:firstLineChars="200"/>
        <w:contextualSpacing/>
        <w:jc w:val="both"/>
        <w:textAlignment w:val="auto"/>
        <w:rPr>
          <w:rFonts w:hint="default" w:ascii="Times New Roman" w:hAnsi="Times New Roman" w:eastAsia="仿宋_GB2312" w:cs="Times New Roman"/>
          <w:color w:val="auto"/>
          <w:kern w:val="0"/>
          <w:sz w:val="32"/>
          <w:szCs w:val="32"/>
          <w:lang w:val="en-US" w:eastAsia="zh-CN" w:bidi="ar-SA"/>
        </w:rPr>
      </w:pPr>
      <w:r>
        <w:rPr>
          <w:rFonts w:hint="default" w:ascii="Times New Roman" w:hAnsi="Times New Roman" w:eastAsia="仿宋_GB2312" w:cs="Times New Roman"/>
          <w:color w:val="auto"/>
          <w:kern w:val="0"/>
          <w:sz w:val="32"/>
          <w:szCs w:val="32"/>
          <w:lang w:val="en-US" w:eastAsia="zh-CN" w:bidi="ar-SA"/>
        </w:rPr>
        <w:t>（2）“省管森工企业离退休人员社会化管理经费”项目在当期完成了项目的总体实施，执行率100%。2024年为省管森工企业离退休人员完善了社会化服务管理信息，退休人员社会化管理率达到100%。确保代管的省管森工企业离退休人员基本养老金按时足额发放，提升省管森工企业离退休人员社会化管理服务水平。</w:t>
      </w:r>
    </w:p>
    <w:p w14:paraId="4D663F6E">
      <w:pPr>
        <w:keepNext w:val="0"/>
        <w:keepLines w:val="0"/>
        <w:pageBreakBefore w:val="0"/>
        <w:widowControl/>
        <w:kinsoku/>
        <w:wordWrap/>
        <w:overflowPunct/>
        <w:topLinePunct w:val="0"/>
        <w:autoSpaceDE/>
        <w:autoSpaceDN/>
        <w:bidi w:val="0"/>
        <w:adjustRightInd w:val="0"/>
        <w:snapToGrid w:val="0"/>
        <w:spacing w:line="600" w:lineRule="exact"/>
        <w:ind w:firstLine="640" w:firstLineChars="200"/>
        <w:contextualSpacing/>
        <w:jc w:val="both"/>
        <w:textAlignment w:val="auto"/>
        <w:rPr>
          <w:rFonts w:hint="default" w:ascii="Times New Roman" w:hAnsi="Times New Roman" w:eastAsia="仿宋_GB2312" w:cs="Times New Roman"/>
          <w:color w:val="auto"/>
          <w:kern w:val="0"/>
          <w:sz w:val="32"/>
          <w:szCs w:val="32"/>
          <w:lang w:val="zh-CN" w:eastAsia="zh-CN" w:bidi="ar-SA"/>
        </w:rPr>
      </w:pPr>
      <w:r>
        <w:rPr>
          <w:rFonts w:hint="default" w:ascii="Times New Roman" w:hAnsi="Times New Roman" w:eastAsia="仿宋_GB2312" w:cs="Times New Roman"/>
          <w:color w:val="auto"/>
          <w:kern w:val="0"/>
          <w:sz w:val="32"/>
          <w:szCs w:val="32"/>
          <w:lang w:val="zh-CN" w:eastAsia="zh-CN" w:bidi="ar-SA"/>
        </w:rPr>
        <w:t>（</w:t>
      </w:r>
      <w:r>
        <w:rPr>
          <w:rFonts w:hint="default" w:ascii="Times New Roman" w:hAnsi="Times New Roman" w:eastAsia="仿宋_GB2312" w:cs="Times New Roman"/>
          <w:color w:val="auto"/>
          <w:kern w:val="0"/>
          <w:sz w:val="32"/>
          <w:szCs w:val="32"/>
          <w:lang w:val="en-US" w:eastAsia="zh-CN" w:bidi="ar-SA"/>
        </w:rPr>
        <w:t>3</w:t>
      </w:r>
      <w:r>
        <w:rPr>
          <w:rFonts w:hint="default" w:ascii="Times New Roman" w:hAnsi="Times New Roman" w:eastAsia="仿宋_GB2312" w:cs="Times New Roman"/>
          <w:color w:val="auto"/>
          <w:kern w:val="0"/>
          <w:sz w:val="32"/>
          <w:szCs w:val="32"/>
          <w:lang w:val="zh-CN" w:eastAsia="zh-CN" w:bidi="ar-SA"/>
        </w:rPr>
        <w:t>）</w:t>
      </w:r>
      <w:r>
        <w:rPr>
          <w:rFonts w:hint="default" w:ascii="Times New Roman" w:hAnsi="Times New Roman" w:eastAsia="仿宋_GB2312" w:cs="Times New Roman"/>
          <w:color w:val="auto"/>
          <w:kern w:val="0"/>
          <w:sz w:val="32"/>
          <w:szCs w:val="32"/>
          <w:lang w:val="en-US" w:eastAsia="zh-CN" w:bidi="ar-SA"/>
        </w:rPr>
        <w:t>“入驻政务中心单位租金、物业费及水电费”项目在当期完成了项目的总体实施，执行率100%。保证了</w:t>
      </w:r>
      <w:r>
        <w:rPr>
          <w:rFonts w:hint="eastAsia" w:ascii="Times New Roman" w:hAnsi="Times New Roman" w:eastAsia="仿宋_GB2312" w:cs="Times New Roman"/>
          <w:color w:val="auto"/>
          <w:kern w:val="0"/>
          <w:sz w:val="32"/>
          <w:szCs w:val="32"/>
          <w:lang w:val="en-US" w:eastAsia="zh-CN" w:bidi="ar-SA"/>
        </w:rPr>
        <w:t>攀枝花</w:t>
      </w:r>
      <w:r>
        <w:rPr>
          <w:rFonts w:hint="default" w:ascii="Times New Roman" w:hAnsi="Times New Roman" w:eastAsia="仿宋_GB2312" w:cs="Times New Roman"/>
          <w:color w:val="auto"/>
          <w:kern w:val="0"/>
          <w:sz w:val="32"/>
          <w:szCs w:val="32"/>
          <w:lang w:val="en-US" w:eastAsia="zh-CN" w:bidi="ar-SA"/>
        </w:rPr>
        <w:t>市社会保险事务中心工作正常开展</w:t>
      </w:r>
      <w:r>
        <w:rPr>
          <w:rFonts w:hint="default" w:ascii="Times New Roman" w:hAnsi="Times New Roman" w:eastAsia="仿宋_GB2312" w:cs="Times New Roman"/>
          <w:color w:val="auto"/>
          <w:kern w:val="0"/>
          <w:sz w:val="32"/>
          <w:szCs w:val="32"/>
          <w:lang w:val="zh-CN" w:eastAsia="zh-CN" w:bidi="ar-SA"/>
        </w:rPr>
        <w:t>。</w:t>
      </w:r>
    </w:p>
    <w:p w14:paraId="213B74B6">
      <w:pPr>
        <w:keepNext w:val="0"/>
        <w:keepLines w:val="0"/>
        <w:pageBreakBefore w:val="0"/>
        <w:kinsoku/>
        <w:wordWrap/>
        <w:overflowPunct/>
        <w:topLinePunct w:val="0"/>
        <w:autoSpaceDE/>
        <w:autoSpaceDN/>
        <w:bidi w:val="0"/>
        <w:adjustRightInd w:val="0"/>
        <w:snapToGrid w:val="0"/>
        <w:spacing w:line="600" w:lineRule="exact"/>
        <w:ind w:firstLine="640" w:firstLineChars="200"/>
        <w:contextualSpacing/>
        <w:jc w:val="left"/>
        <w:textAlignment w:val="auto"/>
        <w:rPr>
          <w:rFonts w:hint="default" w:ascii="Times New Roman" w:hAnsi="Times New Roman" w:cs="Times New Roman"/>
          <w:color w:val="000000"/>
          <w:kern w:val="0"/>
          <w:sz w:val="32"/>
          <w:szCs w:val="32"/>
          <w:shd w:val="clear" w:color="auto" w:fill="FFFFFF"/>
          <w:lang w:val="zh-CN"/>
        </w:rPr>
      </w:pPr>
      <w:r>
        <w:rPr>
          <w:rFonts w:hint="default" w:ascii="Times New Roman" w:hAnsi="Times New Roman" w:eastAsia="楷体_GB2312" w:cs="Times New Roman"/>
          <w:color w:val="000000"/>
          <w:kern w:val="0"/>
          <w:sz w:val="32"/>
          <w:szCs w:val="32"/>
          <w:shd w:val="clear" w:color="auto" w:fill="FFFFFF"/>
        </w:rPr>
        <w:t>2.</w:t>
      </w:r>
      <w:r>
        <w:rPr>
          <w:rFonts w:hint="default" w:ascii="Times New Roman" w:hAnsi="Times New Roman" w:eastAsia="楷体_GB2312" w:cs="Times New Roman"/>
          <w:color w:val="000000"/>
          <w:kern w:val="0"/>
          <w:sz w:val="32"/>
          <w:szCs w:val="32"/>
          <w:shd w:val="clear" w:color="auto" w:fill="FFFFFF"/>
          <w:lang w:val="zh-CN"/>
        </w:rPr>
        <w:t>预算管理。</w:t>
      </w:r>
    </w:p>
    <w:p w14:paraId="1030E60D">
      <w:pPr>
        <w:keepNext w:val="0"/>
        <w:keepLines w:val="0"/>
        <w:pageBreakBefore w:val="0"/>
        <w:widowControl/>
        <w:kinsoku/>
        <w:wordWrap/>
        <w:overflowPunct/>
        <w:topLinePunct w:val="0"/>
        <w:autoSpaceDE/>
        <w:autoSpaceDN/>
        <w:bidi w:val="0"/>
        <w:adjustRightInd w:val="0"/>
        <w:snapToGrid w:val="0"/>
        <w:spacing w:line="600" w:lineRule="exact"/>
        <w:ind w:firstLine="640" w:firstLineChars="200"/>
        <w:contextualSpacing/>
        <w:jc w:val="both"/>
        <w:textAlignment w:val="auto"/>
        <w:rPr>
          <w:rFonts w:hint="default" w:ascii="Times New Roman" w:hAnsi="Times New Roman" w:cs="Times New Roman"/>
          <w:color w:val="000000"/>
          <w:kern w:val="0"/>
          <w:sz w:val="32"/>
          <w:szCs w:val="32"/>
          <w:shd w:val="clear" w:color="auto" w:fill="FFFFFF"/>
          <w:lang w:val="zh-CN" w:eastAsia="zh-CN"/>
        </w:rPr>
      </w:pPr>
      <w:r>
        <w:rPr>
          <w:rFonts w:hint="default" w:ascii="Times New Roman" w:hAnsi="Times New Roman" w:eastAsia="仿宋_GB2312" w:cs="Times New Roman"/>
          <w:color w:val="auto"/>
          <w:kern w:val="0"/>
          <w:sz w:val="32"/>
          <w:szCs w:val="32"/>
          <w:lang w:val="zh-CN" w:eastAsia="zh-CN" w:bidi="ar-SA"/>
        </w:rPr>
        <w:t>攀枝花市社会保险事务中心严格按要求编制年初部门预算，年初预算编制具有科学性和准确性。严控“三公”经费、会议费、培训费、差旅费等支出，年终无结转结余。</w:t>
      </w:r>
    </w:p>
    <w:p w14:paraId="27C3F3B4">
      <w:pPr>
        <w:keepNext w:val="0"/>
        <w:keepLines w:val="0"/>
        <w:pageBreakBefore w:val="0"/>
        <w:numPr>
          <w:ilvl w:val="0"/>
          <w:numId w:val="0"/>
        </w:numPr>
        <w:kinsoku/>
        <w:wordWrap/>
        <w:overflowPunct/>
        <w:topLinePunct w:val="0"/>
        <w:autoSpaceDE/>
        <w:autoSpaceDN/>
        <w:bidi w:val="0"/>
        <w:adjustRightInd w:val="0"/>
        <w:snapToGrid w:val="0"/>
        <w:spacing w:line="600" w:lineRule="exact"/>
        <w:ind w:firstLine="640" w:firstLineChars="200"/>
        <w:contextualSpacing/>
        <w:jc w:val="left"/>
        <w:textAlignment w:val="auto"/>
        <w:rPr>
          <w:rFonts w:hint="default" w:ascii="Times New Roman" w:hAnsi="Times New Roman" w:eastAsia="楷体_GB2312" w:cs="Times New Roman"/>
          <w:color w:val="000000"/>
          <w:kern w:val="0"/>
          <w:sz w:val="32"/>
          <w:szCs w:val="32"/>
          <w:shd w:val="clear" w:color="auto" w:fill="FFFFFF"/>
          <w:lang w:val="zh-CN"/>
        </w:rPr>
      </w:pPr>
      <w:r>
        <w:rPr>
          <w:rFonts w:hint="default" w:ascii="Times New Roman" w:hAnsi="Times New Roman" w:eastAsia="楷体_GB2312" w:cs="Times New Roman"/>
          <w:color w:val="000000"/>
          <w:kern w:val="0"/>
          <w:sz w:val="32"/>
          <w:szCs w:val="32"/>
          <w:shd w:val="clear" w:color="auto" w:fill="FFFFFF"/>
          <w:lang w:val="en-US" w:eastAsia="zh-CN"/>
        </w:rPr>
        <w:t>3.</w:t>
      </w:r>
      <w:r>
        <w:rPr>
          <w:rFonts w:hint="default" w:ascii="Times New Roman" w:hAnsi="Times New Roman" w:eastAsia="楷体_GB2312" w:cs="Times New Roman"/>
          <w:color w:val="000000"/>
          <w:kern w:val="0"/>
          <w:sz w:val="32"/>
          <w:szCs w:val="32"/>
          <w:shd w:val="clear" w:color="auto" w:fill="FFFFFF"/>
          <w:lang w:val="zh-CN"/>
        </w:rPr>
        <w:t>财务管理。</w:t>
      </w:r>
    </w:p>
    <w:p w14:paraId="321A39EE">
      <w:pPr>
        <w:keepNext w:val="0"/>
        <w:keepLines w:val="0"/>
        <w:pageBreakBefore w:val="0"/>
        <w:widowControl/>
        <w:kinsoku/>
        <w:wordWrap/>
        <w:overflowPunct/>
        <w:topLinePunct w:val="0"/>
        <w:autoSpaceDE/>
        <w:autoSpaceDN/>
        <w:bidi w:val="0"/>
        <w:adjustRightInd w:val="0"/>
        <w:snapToGrid w:val="0"/>
        <w:spacing w:line="600" w:lineRule="exact"/>
        <w:ind w:firstLine="640" w:firstLineChars="200"/>
        <w:contextualSpacing/>
        <w:jc w:val="both"/>
        <w:textAlignment w:val="auto"/>
        <w:rPr>
          <w:rFonts w:hint="default" w:ascii="Times New Roman" w:hAnsi="Times New Roman" w:eastAsia="仿宋_GB2312" w:cs="Times New Roman"/>
          <w:color w:val="auto"/>
          <w:kern w:val="0"/>
          <w:sz w:val="32"/>
          <w:szCs w:val="32"/>
          <w:lang w:val="zh-CN" w:eastAsia="zh-CN" w:bidi="ar-SA"/>
        </w:rPr>
      </w:pPr>
      <w:r>
        <w:rPr>
          <w:rFonts w:hint="default" w:ascii="Times New Roman" w:hAnsi="Times New Roman" w:eastAsia="仿宋_GB2312" w:cs="Times New Roman"/>
          <w:color w:val="auto"/>
          <w:kern w:val="0"/>
          <w:sz w:val="32"/>
          <w:szCs w:val="32"/>
          <w:lang w:val="zh-CN" w:eastAsia="zh-CN" w:bidi="ar-SA"/>
        </w:rPr>
        <w:t>攀枝花市社会保险事务中心建立了财务管理制度，由办公室统一管理</w:t>
      </w:r>
      <w:r>
        <w:rPr>
          <w:rFonts w:hint="default" w:ascii="Times New Roman" w:hAnsi="Times New Roman" w:eastAsia="仿宋_GB2312" w:cs="Times New Roman"/>
          <w:color w:val="auto"/>
          <w:kern w:val="0"/>
          <w:sz w:val="32"/>
          <w:szCs w:val="32"/>
          <w:lang w:val="en-US" w:eastAsia="zh-CN" w:bidi="ar-SA"/>
        </w:rPr>
        <w:t>各项</w:t>
      </w:r>
      <w:r>
        <w:rPr>
          <w:rFonts w:hint="default" w:ascii="Times New Roman" w:hAnsi="Times New Roman" w:eastAsia="仿宋_GB2312" w:cs="Times New Roman"/>
          <w:color w:val="auto"/>
          <w:kern w:val="0"/>
          <w:sz w:val="32"/>
          <w:szCs w:val="32"/>
          <w:lang w:val="zh-CN" w:eastAsia="zh-CN" w:bidi="ar-SA"/>
        </w:rPr>
        <w:t>资金，严格按照</w:t>
      </w:r>
      <w:r>
        <w:rPr>
          <w:rFonts w:hint="eastAsia" w:ascii="Times New Roman" w:hAnsi="Times New Roman" w:eastAsia="仿宋_GB2312" w:cs="Times New Roman"/>
          <w:color w:val="auto"/>
          <w:kern w:val="0"/>
          <w:sz w:val="32"/>
          <w:szCs w:val="32"/>
          <w:lang w:val="zh-CN" w:eastAsia="zh-CN" w:bidi="ar-SA"/>
        </w:rPr>
        <w:t>市</w:t>
      </w:r>
      <w:r>
        <w:rPr>
          <w:rFonts w:hint="default" w:ascii="Times New Roman" w:hAnsi="Times New Roman" w:eastAsia="仿宋_GB2312" w:cs="Times New Roman"/>
          <w:color w:val="auto"/>
          <w:kern w:val="0"/>
          <w:sz w:val="32"/>
          <w:szCs w:val="32"/>
          <w:lang w:val="zh-CN" w:eastAsia="zh-CN" w:bidi="ar-SA"/>
        </w:rPr>
        <w:t>财政</w:t>
      </w:r>
      <w:r>
        <w:rPr>
          <w:rFonts w:hint="eastAsia" w:ascii="Times New Roman" w:hAnsi="Times New Roman" w:eastAsia="仿宋_GB2312" w:cs="Times New Roman"/>
          <w:color w:val="auto"/>
          <w:kern w:val="0"/>
          <w:sz w:val="32"/>
          <w:szCs w:val="32"/>
          <w:lang w:val="en-US" w:eastAsia="zh-CN" w:bidi="ar-SA"/>
        </w:rPr>
        <w:t>局</w:t>
      </w:r>
      <w:r>
        <w:rPr>
          <w:rFonts w:hint="default" w:ascii="Times New Roman" w:hAnsi="Times New Roman" w:eastAsia="仿宋_GB2312" w:cs="Times New Roman"/>
          <w:color w:val="auto"/>
          <w:kern w:val="0"/>
          <w:sz w:val="32"/>
          <w:szCs w:val="32"/>
          <w:lang w:val="zh-CN" w:eastAsia="zh-CN" w:bidi="ar-SA"/>
        </w:rPr>
        <w:t>要求上报资金使用计划，并在实施过程中做到资金专项专用。所有支出严格按照财务会计管理规定，做到资金使用有计划、审批有手续、支出合理规范。并及时进行账务处理和会计核算。</w:t>
      </w:r>
    </w:p>
    <w:p w14:paraId="3A9E30C0">
      <w:pPr>
        <w:keepNext w:val="0"/>
        <w:keepLines w:val="0"/>
        <w:pageBreakBefore w:val="0"/>
        <w:numPr>
          <w:ilvl w:val="0"/>
          <w:numId w:val="0"/>
        </w:numPr>
        <w:kinsoku/>
        <w:wordWrap/>
        <w:overflowPunct/>
        <w:topLinePunct w:val="0"/>
        <w:autoSpaceDE/>
        <w:autoSpaceDN/>
        <w:bidi w:val="0"/>
        <w:adjustRightInd w:val="0"/>
        <w:snapToGrid w:val="0"/>
        <w:spacing w:line="600" w:lineRule="exact"/>
        <w:ind w:firstLine="640" w:firstLineChars="200"/>
        <w:contextualSpacing/>
        <w:jc w:val="left"/>
        <w:textAlignment w:val="auto"/>
        <w:rPr>
          <w:rFonts w:hint="default" w:ascii="Times New Roman" w:hAnsi="Times New Roman" w:eastAsia="楷体_GB2312" w:cs="Times New Roman"/>
          <w:color w:val="000000"/>
          <w:kern w:val="0"/>
          <w:sz w:val="32"/>
          <w:szCs w:val="32"/>
          <w:shd w:val="clear" w:color="auto" w:fill="FFFFFF"/>
          <w:lang w:val="zh-CN"/>
        </w:rPr>
      </w:pPr>
      <w:r>
        <w:rPr>
          <w:rFonts w:hint="default" w:ascii="Times New Roman" w:hAnsi="Times New Roman" w:eastAsia="楷体_GB2312" w:cs="Times New Roman"/>
          <w:color w:val="000000"/>
          <w:kern w:val="0"/>
          <w:sz w:val="32"/>
          <w:szCs w:val="32"/>
          <w:shd w:val="clear" w:color="auto" w:fill="FFFFFF"/>
          <w:lang w:val="en-US" w:eastAsia="zh-CN"/>
        </w:rPr>
        <w:t>4.</w:t>
      </w:r>
      <w:r>
        <w:rPr>
          <w:rFonts w:hint="default" w:ascii="Times New Roman" w:hAnsi="Times New Roman" w:eastAsia="楷体_GB2312" w:cs="Times New Roman"/>
          <w:color w:val="000000"/>
          <w:kern w:val="0"/>
          <w:sz w:val="32"/>
          <w:szCs w:val="32"/>
          <w:shd w:val="clear" w:color="auto" w:fill="FFFFFF"/>
          <w:lang w:val="zh-CN"/>
        </w:rPr>
        <w:t>资产管理。</w:t>
      </w:r>
    </w:p>
    <w:p w14:paraId="376E47C4">
      <w:pPr>
        <w:keepNext w:val="0"/>
        <w:keepLines w:val="0"/>
        <w:pageBreakBefore w:val="0"/>
        <w:widowControl/>
        <w:kinsoku/>
        <w:wordWrap/>
        <w:overflowPunct/>
        <w:topLinePunct w:val="0"/>
        <w:autoSpaceDE/>
        <w:autoSpaceDN/>
        <w:bidi w:val="0"/>
        <w:adjustRightInd w:val="0"/>
        <w:snapToGrid w:val="0"/>
        <w:spacing w:line="600" w:lineRule="exact"/>
        <w:ind w:firstLine="640" w:firstLineChars="200"/>
        <w:contextualSpacing/>
        <w:jc w:val="both"/>
        <w:textAlignment w:val="auto"/>
        <w:rPr>
          <w:rFonts w:hint="default" w:ascii="Times New Roman" w:hAnsi="Times New Roman" w:eastAsia="仿宋_GB2312" w:cs="Times New Roman"/>
          <w:color w:val="auto"/>
          <w:kern w:val="0"/>
          <w:sz w:val="32"/>
          <w:szCs w:val="32"/>
          <w:lang w:val="zh-CN" w:eastAsia="zh-CN" w:bidi="ar-SA"/>
        </w:rPr>
      </w:pPr>
      <w:r>
        <w:rPr>
          <w:rFonts w:hint="default" w:ascii="Times New Roman" w:hAnsi="Times New Roman" w:eastAsia="仿宋_GB2312" w:cs="Times New Roman"/>
          <w:color w:val="auto"/>
          <w:kern w:val="0"/>
          <w:sz w:val="32"/>
          <w:szCs w:val="32"/>
          <w:lang w:val="zh-CN" w:eastAsia="zh-CN" w:bidi="ar-SA"/>
        </w:rPr>
        <w:t>攀枝花市社会保险事务中心无资产超最低使用年限的情况，无闲置一年以上的资产。</w:t>
      </w:r>
    </w:p>
    <w:p w14:paraId="7D289780">
      <w:pPr>
        <w:keepNext w:val="0"/>
        <w:keepLines w:val="0"/>
        <w:pageBreakBefore w:val="0"/>
        <w:numPr>
          <w:ilvl w:val="0"/>
          <w:numId w:val="0"/>
        </w:numPr>
        <w:kinsoku/>
        <w:wordWrap/>
        <w:overflowPunct/>
        <w:topLinePunct w:val="0"/>
        <w:autoSpaceDE/>
        <w:autoSpaceDN/>
        <w:bidi w:val="0"/>
        <w:adjustRightInd w:val="0"/>
        <w:snapToGrid w:val="0"/>
        <w:spacing w:line="600" w:lineRule="exact"/>
        <w:ind w:leftChars="200" w:firstLine="320" w:firstLineChars="100"/>
        <w:contextualSpacing/>
        <w:jc w:val="left"/>
        <w:textAlignment w:val="auto"/>
        <w:rPr>
          <w:rFonts w:hint="default" w:ascii="Times New Roman" w:hAnsi="Times New Roman" w:eastAsia="楷体_GB2312" w:cs="Times New Roman"/>
          <w:color w:val="000000"/>
          <w:kern w:val="0"/>
          <w:sz w:val="32"/>
          <w:szCs w:val="32"/>
          <w:shd w:val="clear" w:color="auto" w:fill="FFFFFF"/>
          <w:lang w:val="zh-CN"/>
        </w:rPr>
      </w:pPr>
      <w:r>
        <w:rPr>
          <w:rFonts w:hint="default" w:ascii="Times New Roman" w:hAnsi="Times New Roman" w:eastAsia="楷体_GB2312" w:cs="Times New Roman"/>
          <w:color w:val="000000"/>
          <w:kern w:val="0"/>
          <w:sz w:val="32"/>
          <w:szCs w:val="32"/>
          <w:shd w:val="clear" w:color="auto" w:fill="FFFFFF"/>
          <w:lang w:val="en-US" w:eastAsia="zh-CN"/>
        </w:rPr>
        <w:t>5.</w:t>
      </w:r>
      <w:r>
        <w:rPr>
          <w:rFonts w:hint="default" w:ascii="Times New Roman" w:hAnsi="Times New Roman" w:eastAsia="楷体_GB2312" w:cs="Times New Roman"/>
          <w:color w:val="000000"/>
          <w:kern w:val="0"/>
          <w:sz w:val="32"/>
          <w:szCs w:val="32"/>
          <w:shd w:val="clear" w:color="auto" w:fill="FFFFFF"/>
          <w:lang w:val="zh-CN"/>
        </w:rPr>
        <w:t>采购管理。</w:t>
      </w:r>
    </w:p>
    <w:p w14:paraId="63BCC3C1">
      <w:pPr>
        <w:keepNext w:val="0"/>
        <w:keepLines w:val="0"/>
        <w:pageBreakBefore w:val="0"/>
        <w:widowControl/>
        <w:kinsoku/>
        <w:wordWrap/>
        <w:overflowPunct/>
        <w:topLinePunct w:val="0"/>
        <w:autoSpaceDE/>
        <w:autoSpaceDN/>
        <w:bidi w:val="0"/>
        <w:adjustRightInd w:val="0"/>
        <w:snapToGrid w:val="0"/>
        <w:spacing w:line="600" w:lineRule="exact"/>
        <w:ind w:firstLine="640" w:firstLineChars="200"/>
        <w:contextualSpacing/>
        <w:jc w:val="both"/>
        <w:textAlignment w:val="auto"/>
        <w:rPr>
          <w:rFonts w:hint="default" w:ascii="Times New Roman" w:hAnsi="Times New Roman" w:eastAsia="仿宋_GB2312" w:cs="Times New Roman"/>
          <w:color w:val="auto"/>
          <w:kern w:val="0"/>
          <w:sz w:val="32"/>
          <w:szCs w:val="32"/>
          <w:lang w:val="zh-CN" w:eastAsia="zh-CN" w:bidi="ar-SA"/>
        </w:rPr>
      </w:pPr>
      <w:r>
        <w:rPr>
          <w:rFonts w:hint="default" w:ascii="Times New Roman" w:hAnsi="Times New Roman" w:eastAsia="仿宋_GB2312" w:cs="Times New Roman"/>
          <w:color w:val="auto"/>
          <w:kern w:val="0"/>
          <w:sz w:val="32"/>
          <w:szCs w:val="32"/>
          <w:lang w:val="zh-CN" w:eastAsia="zh-CN" w:bidi="ar-SA"/>
        </w:rPr>
        <w:t>攀枝花市社会保险事务中心按规定进行政府采购，严格执行政府采购促进中小企业发展相关管理办法。</w:t>
      </w:r>
    </w:p>
    <w:p w14:paraId="4369F095">
      <w:pPr>
        <w:keepNext w:val="0"/>
        <w:keepLines w:val="0"/>
        <w:pageBreakBefore w:val="0"/>
        <w:widowControl/>
        <w:kinsoku/>
        <w:wordWrap/>
        <w:overflowPunct/>
        <w:topLinePunct w:val="0"/>
        <w:autoSpaceDE/>
        <w:autoSpaceDN/>
        <w:bidi w:val="0"/>
        <w:adjustRightInd w:val="0"/>
        <w:snapToGrid w:val="0"/>
        <w:spacing w:line="600" w:lineRule="exact"/>
        <w:ind w:firstLine="640" w:firstLineChars="200"/>
        <w:contextualSpacing/>
        <w:jc w:val="left"/>
        <w:textAlignment w:val="auto"/>
        <w:rPr>
          <w:rFonts w:hint="default" w:ascii="Times New Roman" w:hAnsi="Times New Roman" w:cs="Times New Roman"/>
          <w:color w:val="000000"/>
          <w:kern w:val="0"/>
          <w:sz w:val="32"/>
          <w:szCs w:val="32"/>
          <w:shd w:val="clear" w:color="auto" w:fill="FFFFFF"/>
        </w:rPr>
      </w:pPr>
      <w:r>
        <w:rPr>
          <w:rFonts w:hint="default" w:ascii="Times New Roman" w:hAnsi="Times New Roman" w:eastAsia="楷体_GB2312" w:cs="Times New Roman"/>
          <w:b/>
          <w:bCs/>
          <w:color w:val="000000"/>
          <w:kern w:val="0"/>
          <w:sz w:val="32"/>
          <w:szCs w:val="32"/>
          <w:shd w:val="clear" w:color="auto" w:fill="FFFFFF"/>
          <w:lang w:val="zh-CN"/>
        </w:rPr>
        <w:t>（二）部门预算项目绩效分析</w:t>
      </w:r>
    </w:p>
    <w:p w14:paraId="5F84D4AE">
      <w:pPr>
        <w:keepNext w:val="0"/>
        <w:keepLines w:val="0"/>
        <w:pageBreakBefore w:val="0"/>
        <w:widowControl/>
        <w:kinsoku/>
        <w:wordWrap/>
        <w:overflowPunct/>
        <w:topLinePunct w:val="0"/>
        <w:autoSpaceDE/>
        <w:autoSpaceDN/>
        <w:bidi w:val="0"/>
        <w:adjustRightInd w:val="0"/>
        <w:snapToGrid w:val="0"/>
        <w:spacing w:line="600" w:lineRule="exact"/>
        <w:ind w:firstLine="640" w:firstLineChars="200"/>
        <w:contextualSpacing/>
        <w:jc w:val="both"/>
        <w:textAlignment w:val="auto"/>
        <w:rPr>
          <w:rFonts w:hint="default" w:ascii="Times New Roman" w:hAnsi="Times New Roman" w:eastAsia="仿宋_GB2312" w:cs="Times New Roman"/>
          <w:color w:val="auto"/>
          <w:kern w:val="0"/>
          <w:sz w:val="32"/>
          <w:szCs w:val="32"/>
          <w:lang w:val="zh-CN" w:eastAsia="zh-CN" w:bidi="ar-SA"/>
        </w:rPr>
      </w:pPr>
      <w:r>
        <w:rPr>
          <w:rFonts w:hint="default" w:ascii="Times New Roman" w:hAnsi="Times New Roman" w:eastAsia="仿宋_GB2312" w:cs="Times New Roman"/>
          <w:color w:val="auto"/>
          <w:kern w:val="0"/>
          <w:sz w:val="32"/>
          <w:szCs w:val="32"/>
          <w:lang w:val="zh-CN" w:eastAsia="zh-CN" w:bidi="ar-SA"/>
        </w:rPr>
        <w:t>常年项目绩效分析。该类项目总数</w:t>
      </w:r>
      <w:r>
        <w:rPr>
          <w:rFonts w:hint="default" w:ascii="Times New Roman" w:hAnsi="Times New Roman" w:eastAsia="仿宋_GB2312" w:cs="Times New Roman"/>
          <w:color w:val="auto"/>
          <w:kern w:val="0"/>
          <w:sz w:val="32"/>
          <w:szCs w:val="32"/>
          <w:lang w:val="en-US" w:eastAsia="zh-CN" w:bidi="ar-SA"/>
        </w:rPr>
        <w:t>3</w:t>
      </w:r>
      <w:r>
        <w:rPr>
          <w:rFonts w:hint="default" w:ascii="Times New Roman" w:hAnsi="Times New Roman" w:eastAsia="仿宋_GB2312" w:cs="Times New Roman"/>
          <w:color w:val="auto"/>
          <w:kern w:val="0"/>
          <w:sz w:val="32"/>
          <w:szCs w:val="32"/>
          <w:lang w:val="zh-CN" w:eastAsia="zh-CN" w:bidi="ar-SA"/>
        </w:rPr>
        <w:t>个，涉及预算总金额</w:t>
      </w:r>
      <w:r>
        <w:rPr>
          <w:rFonts w:hint="default" w:ascii="Times New Roman" w:hAnsi="Times New Roman" w:eastAsia="仿宋_GB2312" w:cs="Times New Roman"/>
          <w:color w:val="auto"/>
          <w:kern w:val="0"/>
          <w:sz w:val="32"/>
          <w:szCs w:val="32"/>
          <w:lang w:val="en-US" w:eastAsia="zh-CN" w:bidi="ar-SA"/>
        </w:rPr>
        <w:t>104.28</w:t>
      </w:r>
      <w:r>
        <w:rPr>
          <w:rFonts w:hint="default" w:ascii="Times New Roman" w:hAnsi="Times New Roman" w:eastAsia="仿宋_GB2312" w:cs="Times New Roman"/>
          <w:color w:val="auto"/>
          <w:kern w:val="0"/>
          <w:sz w:val="32"/>
          <w:szCs w:val="32"/>
          <w:lang w:val="zh-CN" w:eastAsia="zh-CN" w:bidi="ar-SA"/>
        </w:rPr>
        <w:t>万元，1—12月预算执行总体进度为</w:t>
      </w:r>
      <w:r>
        <w:rPr>
          <w:rFonts w:hint="default" w:ascii="Times New Roman" w:hAnsi="Times New Roman" w:eastAsia="仿宋_GB2312" w:cs="Times New Roman"/>
          <w:color w:val="auto"/>
          <w:kern w:val="0"/>
          <w:sz w:val="32"/>
          <w:szCs w:val="32"/>
          <w:lang w:val="en-US" w:eastAsia="zh-CN" w:bidi="ar-SA"/>
        </w:rPr>
        <w:t>100</w:t>
      </w:r>
      <w:r>
        <w:rPr>
          <w:rFonts w:hint="default" w:ascii="Times New Roman" w:hAnsi="Times New Roman" w:eastAsia="仿宋_GB2312" w:cs="Times New Roman"/>
          <w:color w:val="auto"/>
          <w:kern w:val="0"/>
          <w:sz w:val="32"/>
          <w:szCs w:val="32"/>
          <w:lang w:val="zh-CN" w:eastAsia="zh-CN" w:bidi="ar-SA"/>
        </w:rPr>
        <w:t>%，其中：预算结余率大于10%的项目共计</w:t>
      </w:r>
      <w:r>
        <w:rPr>
          <w:rFonts w:hint="default" w:ascii="Times New Roman" w:hAnsi="Times New Roman" w:eastAsia="仿宋_GB2312" w:cs="Times New Roman"/>
          <w:color w:val="auto"/>
          <w:kern w:val="0"/>
          <w:sz w:val="32"/>
          <w:szCs w:val="32"/>
          <w:lang w:val="en-US" w:eastAsia="zh-CN" w:bidi="ar-SA"/>
        </w:rPr>
        <w:t>0</w:t>
      </w:r>
      <w:r>
        <w:rPr>
          <w:rFonts w:hint="default" w:ascii="Times New Roman" w:hAnsi="Times New Roman" w:eastAsia="仿宋_GB2312" w:cs="Times New Roman"/>
          <w:color w:val="auto"/>
          <w:kern w:val="0"/>
          <w:sz w:val="32"/>
          <w:szCs w:val="32"/>
          <w:lang w:val="zh-CN" w:eastAsia="zh-CN" w:bidi="ar-SA"/>
        </w:rPr>
        <w:t>个。</w:t>
      </w:r>
    </w:p>
    <w:p w14:paraId="59C283E5">
      <w:pPr>
        <w:keepNext w:val="0"/>
        <w:keepLines w:val="0"/>
        <w:pageBreakBefore w:val="0"/>
        <w:widowControl/>
        <w:kinsoku/>
        <w:wordWrap/>
        <w:overflowPunct/>
        <w:topLinePunct w:val="0"/>
        <w:autoSpaceDE/>
        <w:autoSpaceDN/>
        <w:bidi w:val="0"/>
        <w:adjustRightInd w:val="0"/>
        <w:snapToGrid w:val="0"/>
        <w:spacing w:line="600" w:lineRule="exact"/>
        <w:ind w:firstLine="640" w:firstLineChars="200"/>
        <w:contextualSpacing/>
        <w:jc w:val="both"/>
        <w:textAlignment w:val="auto"/>
        <w:rPr>
          <w:rFonts w:hint="default" w:ascii="Times New Roman" w:hAnsi="Times New Roman" w:eastAsia="仿宋_GB2312" w:cs="Times New Roman"/>
          <w:color w:val="auto"/>
          <w:kern w:val="0"/>
          <w:sz w:val="32"/>
          <w:szCs w:val="32"/>
          <w:lang w:val="zh-CN" w:eastAsia="zh-CN" w:bidi="ar-SA"/>
        </w:rPr>
      </w:pPr>
      <w:r>
        <w:rPr>
          <w:rFonts w:hint="default" w:ascii="Times New Roman" w:hAnsi="Times New Roman" w:eastAsia="仿宋_GB2312" w:cs="Times New Roman"/>
          <w:color w:val="auto"/>
          <w:kern w:val="0"/>
          <w:sz w:val="32"/>
          <w:szCs w:val="32"/>
          <w:lang w:val="en-US" w:eastAsia="zh-CN" w:bidi="ar-SA"/>
        </w:rPr>
        <w:t>1.</w:t>
      </w:r>
      <w:r>
        <w:rPr>
          <w:rFonts w:hint="default" w:ascii="Times New Roman" w:hAnsi="Times New Roman" w:eastAsia="仿宋_GB2312" w:cs="Times New Roman"/>
          <w:color w:val="auto"/>
          <w:kern w:val="0"/>
          <w:sz w:val="32"/>
          <w:szCs w:val="32"/>
          <w:lang w:val="zh-CN" w:eastAsia="zh-CN" w:bidi="ar-SA"/>
        </w:rPr>
        <w:t>项目决策。</w:t>
      </w:r>
    </w:p>
    <w:p w14:paraId="4C4080AD">
      <w:pPr>
        <w:keepNext w:val="0"/>
        <w:keepLines w:val="0"/>
        <w:pageBreakBefore w:val="0"/>
        <w:widowControl/>
        <w:kinsoku/>
        <w:wordWrap/>
        <w:overflowPunct/>
        <w:topLinePunct w:val="0"/>
        <w:autoSpaceDE/>
        <w:autoSpaceDN/>
        <w:bidi w:val="0"/>
        <w:adjustRightInd w:val="0"/>
        <w:snapToGrid w:val="0"/>
        <w:spacing w:line="600" w:lineRule="exact"/>
        <w:ind w:firstLine="640" w:firstLineChars="200"/>
        <w:contextualSpacing/>
        <w:jc w:val="both"/>
        <w:textAlignment w:val="auto"/>
        <w:rPr>
          <w:rFonts w:hint="default" w:ascii="Times New Roman" w:hAnsi="Times New Roman" w:eastAsia="仿宋_GB2312" w:cs="Times New Roman"/>
          <w:color w:val="auto"/>
          <w:kern w:val="0"/>
          <w:sz w:val="32"/>
          <w:szCs w:val="32"/>
          <w:lang w:val="zh-CN" w:eastAsia="zh-CN" w:bidi="ar-SA"/>
        </w:rPr>
      </w:pPr>
      <w:r>
        <w:rPr>
          <w:rFonts w:hint="default" w:ascii="Times New Roman" w:hAnsi="Times New Roman" w:eastAsia="仿宋_GB2312" w:cs="Times New Roman"/>
          <w:color w:val="auto"/>
          <w:kern w:val="0"/>
          <w:sz w:val="32"/>
          <w:szCs w:val="32"/>
          <w:lang w:val="zh-CN" w:eastAsia="zh-CN" w:bidi="ar-SA"/>
        </w:rPr>
        <w:t>项目设立、调整延续等方面符合资金管理基本规范和决策程序要求，项目规划论证符合中省要求，项目绩效目标设置科学合理，属于政府支持范围，且符合财政事权支出责任划分规定，资金投向与项目总体规划、相关行业事业发展相匹配，项目制度办法体系健全、要素完备。</w:t>
      </w:r>
    </w:p>
    <w:p w14:paraId="0AF5A217">
      <w:pPr>
        <w:keepNext w:val="0"/>
        <w:keepLines w:val="0"/>
        <w:pageBreakBefore w:val="0"/>
        <w:widowControl/>
        <w:kinsoku/>
        <w:wordWrap/>
        <w:overflowPunct/>
        <w:topLinePunct w:val="0"/>
        <w:autoSpaceDE/>
        <w:autoSpaceDN/>
        <w:bidi w:val="0"/>
        <w:adjustRightInd w:val="0"/>
        <w:snapToGrid w:val="0"/>
        <w:spacing w:line="600" w:lineRule="exact"/>
        <w:ind w:firstLine="640" w:firstLineChars="200"/>
        <w:contextualSpacing/>
        <w:jc w:val="both"/>
        <w:textAlignment w:val="auto"/>
        <w:rPr>
          <w:rFonts w:hint="default" w:ascii="Times New Roman" w:hAnsi="Times New Roman" w:eastAsia="仿宋_GB2312" w:cs="Times New Roman"/>
          <w:color w:val="auto"/>
          <w:kern w:val="0"/>
          <w:sz w:val="32"/>
          <w:szCs w:val="32"/>
          <w:lang w:val="zh-CN" w:eastAsia="zh-CN" w:bidi="ar-SA"/>
        </w:rPr>
      </w:pPr>
      <w:r>
        <w:rPr>
          <w:rFonts w:hint="default" w:ascii="Times New Roman" w:hAnsi="Times New Roman" w:eastAsia="仿宋_GB2312" w:cs="Times New Roman"/>
          <w:color w:val="auto"/>
          <w:kern w:val="0"/>
          <w:sz w:val="32"/>
          <w:szCs w:val="32"/>
          <w:lang w:val="en-US" w:eastAsia="zh-CN" w:bidi="ar-SA"/>
        </w:rPr>
        <w:t>2.</w:t>
      </w:r>
      <w:r>
        <w:rPr>
          <w:rFonts w:hint="default" w:ascii="Times New Roman" w:hAnsi="Times New Roman" w:eastAsia="仿宋_GB2312" w:cs="Times New Roman"/>
          <w:color w:val="auto"/>
          <w:kern w:val="0"/>
          <w:sz w:val="32"/>
          <w:szCs w:val="32"/>
          <w:lang w:val="zh-CN" w:eastAsia="zh-CN" w:bidi="ar-SA"/>
        </w:rPr>
        <w:t>项目执行。</w:t>
      </w:r>
    </w:p>
    <w:p w14:paraId="18593ABF">
      <w:pPr>
        <w:keepNext w:val="0"/>
        <w:keepLines w:val="0"/>
        <w:pageBreakBefore w:val="0"/>
        <w:widowControl/>
        <w:kinsoku/>
        <w:wordWrap/>
        <w:overflowPunct/>
        <w:topLinePunct w:val="0"/>
        <w:autoSpaceDE/>
        <w:autoSpaceDN/>
        <w:bidi w:val="0"/>
        <w:adjustRightInd w:val="0"/>
        <w:snapToGrid w:val="0"/>
        <w:spacing w:line="600" w:lineRule="exact"/>
        <w:ind w:firstLine="640" w:firstLineChars="200"/>
        <w:contextualSpacing/>
        <w:jc w:val="both"/>
        <w:textAlignment w:val="auto"/>
        <w:rPr>
          <w:rFonts w:hint="default" w:ascii="Times New Roman" w:hAnsi="Times New Roman" w:eastAsia="仿宋_GB2312" w:cs="Times New Roman"/>
          <w:color w:val="auto"/>
          <w:kern w:val="0"/>
          <w:sz w:val="32"/>
          <w:szCs w:val="32"/>
          <w:lang w:val="zh-CN" w:eastAsia="zh-CN" w:bidi="ar-SA"/>
        </w:rPr>
      </w:pPr>
      <w:r>
        <w:rPr>
          <w:rFonts w:hint="default" w:ascii="Times New Roman" w:hAnsi="Times New Roman" w:eastAsia="仿宋_GB2312" w:cs="Times New Roman"/>
          <w:color w:val="auto"/>
          <w:kern w:val="0"/>
          <w:sz w:val="32"/>
          <w:szCs w:val="32"/>
          <w:lang w:val="zh-CN" w:eastAsia="zh-CN" w:bidi="ar-SA"/>
        </w:rPr>
        <w:t>预算执行过程严把审核关口，强化资金监督使用，确保项目资金专款专用。对预算执行进度缓慢的项目，督促并加快资金执行进度。资金执行进度100%。</w:t>
      </w:r>
    </w:p>
    <w:p w14:paraId="10D08AD9">
      <w:pPr>
        <w:keepNext w:val="0"/>
        <w:keepLines w:val="0"/>
        <w:pageBreakBefore w:val="0"/>
        <w:widowControl/>
        <w:kinsoku/>
        <w:wordWrap/>
        <w:overflowPunct/>
        <w:topLinePunct w:val="0"/>
        <w:autoSpaceDE/>
        <w:autoSpaceDN/>
        <w:bidi w:val="0"/>
        <w:adjustRightInd w:val="0"/>
        <w:snapToGrid w:val="0"/>
        <w:spacing w:line="600" w:lineRule="exact"/>
        <w:ind w:firstLine="640" w:firstLineChars="200"/>
        <w:contextualSpacing/>
        <w:jc w:val="both"/>
        <w:textAlignment w:val="auto"/>
        <w:rPr>
          <w:rFonts w:hint="default" w:ascii="Times New Roman" w:hAnsi="Times New Roman" w:eastAsia="仿宋_GB2312" w:cs="Times New Roman"/>
          <w:color w:val="auto"/>
          <w:kern w:val="0"/>
          <w:sz w:val="32"/>
          <w:szCs w:val="32"/>
          <w:lang w:val="zh-CN" w:eastAsia="zh-CN" w:bidi="ar-SA"/>
        </w:rPr>
      </w:pPr>
      <w:r>
        <w:rPr>
          <w:rFonts w:hint="default" w:ascii="Times New Roman" w:hAnsi="Times New Roman" w:eastAsia="仿宋_GB2312" w:cs="Times New Roman"/>
          <w:color w:val="auto"/>
          <w:kern w:val="0"/>
          <w:sz w:val="32"/>
          <w:szCs w:val="32"/>
          <w:lang w:val="en-US" w:eastAsia="zh-CN" w:bidi="ar-SA"/>
        </w:rPr>
        <w:t>3.</w:t>
      </w:r>
      <w:r>
        <w:rPr>
          <w:rFonts w:hint="default" w:ascii="Times New Roman" w:hAnsi="Times New Roman" w:eastAsia="仿宋_GB2312" w:cs="Times New Roman"/>
          <w:color w:val="auto"/>
          <w:kern w:val="0"/>
          <w:sz w:val="32"/>
          <w:szCs w:val="32"/>
          <w:lang w:val="zh-CN" w:eastAsia="zh-CN" w:bidi="ar-SA"/>
        </w:rPr>
        <w:t>目标实现。</w:t>
      </w:r>
    </w:p>
    <w:p w14:paraId="23627411">
      <w:pPr>
        <w:keepNext w:val="0"/>
        <w:keepLines w:val="0"/>
        <w:pageBreakBefore w:val="0"/>
        <w:widowControl/>
        <w:kinsoku/>
        <w:wordWrap/>
        <w:overflowPunct/>
        <w:topLinePunct w:val="0"/>
        <w:autoSpaceDE/>
        <w:autoSpaceDN/>
        <w:bidi w:val="0"/>
        <w:adjustRightInd w:val="0"/>
        <w:snapToGrid w:val="0"/>
        <w:spacing w:line="600" w:lineRule="exact"/>
        <w:ind w:firstLine="640" w:firstLineChars="200"/>
        <w:contextualSpacing/>
        <w:jc w:val="both"/>
        <w:textAlignment w:val="auto"/>
        <w:rPr>
          <w:rFonts w:hint="default" w:ascii="Times New Roman" w:hAnsi="Times New Roman" w:eastAsia="仿宋_GB2312" w:cs="Times New Roman"/>
          <w:color w:val="auto"/>
          <w:kern w:val="0"/>
          <w:sz w:val="32"/>
          <w:szCs w:val="32"/>
          <w:lang w:val="zh-CN" w:eastAsia="zh-CN" w:bidi="ar-SA"/>
        </w:rPr>
      </w:pPr>
      <w:r>
        <w:rPr>
          <w:rFonts w:hint="default" w:ascii="Times New Roman" w:hAnsi="Times New Roman" w:eastAsia="仿宋_GB2312" w:cs="Times New Roman"/>
          <w:color w:val="auto"/>
          <w:kern w:val="0"/>
          <w:sz w:val="32"/>
          <w:szCs w:val="32"/>
          <w:lang w:val="en-US" w:eastAsia="zh-CN" w:bidi="ar-SA"/>
        </w:rPr>
        <w:t>攀枝花市社会保险事务中心</w:t>
      </w:r>
      <w:r>
        <w:rPr>
          <w:rFonts w:hint="default" w:ascii="Times New Roman" w:hAnsi="Times New Roman" w:eastAsia="仿宋_GB2312" w:cs="Times New Roman"/>
          <w:color w:val="auto"/>
          <w:kern w:val="0"/>
          <w:sz w:val="32"/>
          <w:szCs w:val="32"/>
          <w:lang w:val="zh-CN" w:eastAsia="zh-CN" w:bidi="ar-SA"/>
        </w:rPr>
        <w:t>紧紧围绕</w:t>
      </w:r>
      <w:r>
        <w:rPr>
          <w:rFonts w:hint="default" w:ascii="Times New Roman" w:hAnsi="Times New Roman" w:eastAsia="仿宋_GB2312" w:cs="Times New Roman"/>
          <w:color w:val="auto"/>
          <w:kern w:val="0"/>
          <w:sz w:val="32"/>
          <w:szCs w:val="32"/>
          <w:lang w:val="en-US" w:eastAsia="zh-CN" w:bidi="ar-SA"/>
        </w:rPr>
        <w:t>年度</w:t>
      </w:r>
      <w:r>
        <w:rPr>
          <w:rFonts w:hint="default" w:ascii="Times New Roman" w:hAnsi="Times New Roman" w:eastAsia="仿宋_GB2312" w:cs="Times New Roman"/>
          <w:color w:val="auto"/>
          <w:kern w:val="0"/>
          <w:sz w:val="32"/>
          <w:szCs w:val="32"/>
          <w:lang w:val="zh-CN" w:eastAsia="zh-CN" w:bidi="ar-SA"/>
        </w:rPr>
        <w:t>目标任务和重点工作，按照财政部门预算绩效管理相关规定，结合实际从数量、质量、成本和时效等方面细化绩效指标，注重绩效目标符合客观实际，以定量方式表述，绩效目标设置科学。积极推进预算绩效运行管理，开展事中绩效监控，确保绩效目标实现。2024年度一般公共预算中工资、五险一金等人员支出保障了职工正常待遇按月发放；办公费、水电费、差旅费等日常开支，保障了中心日常办公和人员运转支出。202</w:t>
      </w:r>
      <w:r>
        <w:rPr>
          <w:rFonts w:hint="default" w:ascii="Times New Roman" w:hAnsi="Times New Roman" w:eastAsia="仿宋_GB2312" w:cs="Times New Roman"/>
          <w:color w:val="auto"/>
          <w:kern w:val="0"/>
          <w:sz w:val="32"/>
          <w:szCs w:val="32"/>
          <w:lang w:val="en-US" w:eastAsia="zh-CN" w:bidi="ar-SA"/>
        </w:rPr>
        <w:t>4</w:t>
      </w:r>
      <w:r>
        <w:rPr>
          <w:rFonts w:hint="default" w:ascii="Times New Roman" w:hAnsi="Times New Roman" w:eastAsia="仿宋_GB2312" w:cs="Times New Roman"/>
          <w:color w:val="auto"/>
          <w:kern w:val="0"/>
          <w:sz w:val="32"/>
          <w:szCs w:val="32"/>
          <w:lang w:val="zh-CN" w:eastAsia="zh-CN" w:bidi="ar-SA"/>
        </w:rPr>
        <w:t>年完成项目资金支付，达到预期目标。</w:t>
      </w:r>
    </w:p>
    <w:p w14:paraId="7203AAB6">
      <w:pPr>
        <w:keepNext w:val="0"/>
        <w:keepLines w:val="0"/>
        <w:pageBreakBefore w:val="0"/>
        <w:numPr>
          <w:ilvl w:val="0"/>
          <w:numId w:val="0"/>
        </w:numPr>
        <w:kinsoku/>
        <w:wordWrap/>
        <w:overflowPunct/>
        <w:topLinePunct w:val="0"/>
        <w:autoSpaceDE/>
        <w:autoSpaceDN/>
        <w:bidi w:val="0"/>
        <w:snapToGrid w:val="0"/>
        <w:spacing w:line="600" w:lineRule="exact"/>
        <w:ind w:leftChars="200"/>
        <w:textAlignment w:val="auto"/>
        <w:rPr>
          <w:rFonts w:hint="default" w:ascii="Times New Roman" w:hAnsi="Times New Roman" w:eastAsia="楷体_GB2312" w:cs="Times New Roman"/>
          <w:b/>
          <w:bCs/>
          <w:sz w:val="32"/>
          <w:szCs w:val="32"/>
          <w:lang w:val="zh-CN"/>
        </w:rPr>
      </w:pPr>
      <w:r>
        <w:rPr>
          <w:rFonts w:hint="eastAsia" w:ascii="Times New Roman" w:hAnsi="Times New Roman" w:eastAsia="楷体_GB2312" w:cs="Times New Roman"/>
          <w:b/>
          <w:bCs/>
          <w:sz w:val="32"/>
          <w:szCs w:val="32"/>
          <w:lang w:val="zh-CN"/>
        </w:rPr>
        <w:t>（</w:t>
      </w:r>
      <w:r>
        <w:rPr>
          <w:rFonts w:hint="eastAsia" w:ascii="Times New Roman" w:hAnsi="Times New Roman" w:eastAsia="楷体_GB2312" w:cs="Times New Roman"/>
          <w:b/>
          <w:bCs/>
          <w:sz w:val="32"/>
          <w:szCs w:val="32"/>
          <w:lang w:val="en-US" w:eastAsia="zh-CN"/>
        </w:rPr>
        <w:t>三</w:t>
      </w:r>
      <w:r>
        <w:rPr>
          <w:rFonts w:hint="eastAsia" w:ascii="Times New Roman" w:hAnsi="Times New Roman" w:eastAsia="楷体_GB2312" w:cs="Times New Roman"/>
          <w:b/>
          <w:bCs/>
          <w:sz w:val="32"/>
          <w:szCs w:val="32"/>
          <w:lang w:val="zh-CN"/>
        </w:rPr>
        <w:t>）</w:t>
      </w:r>
      <w:r>
        <w:rPr>
          <w:rFonts w:hint="default" w:ascii="Times New Roman" w:hAnsi="Times New Roman" w:eastAsia="楷体_GB2312" w:cs="Times New Roman"/>
          <w:b/>
          <w:bCs/>
          <w:sz w:val="32"/>
          <w:szCs w:val="32"/>
          <w:lang w:val="zh-CN"/>
        </w:rPr>
        <w:t>绩效结果应用情况</w:t>
      </w:r>
    </w:p>
    <w:p w14:paraId="41E41D08">
      <w:pPr>
        <w:keepNext w:val="0"/>
        <w:keepLines w:val="0"/>
        <w:pageBreakBefore w:val="0"/>
        <w:widowControl/>
        <w:kinsoku/>
        <w:wordWrap/>
        <w:overflowPunct/>
        <w:topLinePunct w:val="0"/>
        <w:autoSpaceDE/>
        <w:autoSpaceDN/>
        <w:bidi w:val="0"/>
        <w:adjustRightInd w:val="0"/>
        <w:snapToGrid w:val="0"/>
        <w:spacing w:line="600" w:lineRule="exact"/>
        <w:ind w:firstLine="640" w:firstLineChars="200"/>
        <w:contextualSpacing/>
        <w:jc w:val="both"/>
        <w:textAlignment w:val="auto"/>
        <w:rPr>
          <w:rFonts w:hint="default" w:ascii="Times New Roman" w:hAnsi="Times New Roman" w:eastAsia="仿宋_GB2312" w:cs="Times New Roman"/>
          <w:color w:val="auto"/>
          <w:kern w:val="0"/>
          <w:sz w:val="32"/>
          <w:szCs w:val="32"/>
          <w:lang w:val="zh-CN" w:eastAsia="zh-CN" w:bidi="ar-SA"/>
        </w:rPr>
      </w:pPr>
      <w:r>
        <w:rPr>
          <w:rFonts w:hint="default" w:ascii="Times New Roman" w:hAnsi="Times New Roman" w:eastAsia="仿宋_GB2312" w:cs="Times New Roman"/>
          <w:color w:val="auto"/>
          <w:kern w:val="0"/>
          <w:sz w:val="32"/>
          <w:szCs w:val="32"/>
          <w:lang w:val="zh-CN" w:eastAsia="zh-CN" w:bidi="ar-SA"/>
        </w:rPr>
        <w:t>攀枝花市</w:t>
      </w:r>
      <w:r>
        <w:rPr>
          <w:rFonts w:hint="default" w:ascii="Times New Roman" w:hAnsi="Times New Roman" w:eastAsia="仿宋_GB2312" w:cs="Times New Roman"/>
          <w:color w:val="auto"/>
          <w:kern w:val="0"/>
          <w:sz w:val="32"/>
          <w:szCs w:val="32"/>
          <w:lang w:val="en-US" w:eastAsia="zh-CN" w:bidi="ar-SA"/>
        </w:rPr>
        <w:t>社会保险事务中心</w:t>
      </w:r>
      <w:r>
        <w:rPr>
          <w:rFonts w:hint="default" w:ascii="Times New Roman" w:hAnsi="Times New Roman" w:eastAsia="仿宋_GB2312" w:cs="Times New Roman"/>
          <w:color w:val="auto"/>
          <w:kern w:val="0"/>
          <w:sz w:val="32"/>
          <w:szCs w:val="32"/>
          <w:lang w:val="zh-CN" w:eastAsia="zh-CN" w:bidi="ar-SA"/>
        </w:rPr>
        <w:t>将实际完成数和年度指标值进行对比分析，对预算指标进行合理评估，科学、合理的编制部门预算，提高资金使用效率，绩效自评结果拟在我中心网站公示公开。</w:t>
      </w:r>
    </w:p>
    <w:p w14:paraId="3310F69A">
      <w:pPr>
        <w:keepNext w:val="0"/>
        <w:keepLines w:val="0"/>
        <w:pageBreakBefore w:val="0"/>
        <w:widowControl/>
        <w:kinsoku/>
        <w:wordWrap/>
        <w:overflowPunct/>
        <w:topLinePunct w:val="0"/>
        <w:autoSpaceDE/>
        <w:autoSpaceDN/>
        <w:bidi w:val="0"/>
        <w:adjustRightInd w:val="0"/>
        <w:snapToGrid w:val="0"/>
        <w:spacing w:line="600" w:lineRule="exact"/>
        <w:ind w:firstLine="640" w:firstLineChars="200"/>
        <w:contextualSpacing/>
        <w:jc w:val="left"/>
        <w:textAlignment w:val="auto"/>
        <w:rPr>
          <w:rFonts w:hint="default" w:ascii="Times New Roman" w:hAnsi="Times New Roman" w:eastAsia="黑体" w:cs="Times New Roman"/>
          <w:color w:val="000000"/>
          <w:kern w:val="0"/>
          <w:sz w:val="32"/>
          <w:szCs w:val="32"/>
          <w:shd w:val="clear" w:color="auto" w:fill="FFFFFF"/>
        </w:rPr>
      </w:pPr>
      <w:r>
        <w:rPr>
          <w:rFonts w:hint="default" w:ascii="Times New Roman" w:hAnsi="Times New Roman" w:eastAsia="黑体" w:cs="Times New Roman"/>
          <w:color w:val="000000"/>
          <w:kern w:val="0"/>
          <w:sz w:val="32"/>
          <w:szCs w:val="32"/>
          <w:shd w:val="clear" w:color="auto" w:fill="FFFFFF"/>
        </w:rPr>
        <w:t>四、评价结论及建议</w:t>
      </w:r>
    </w:p>
    <w:p w14:paraId="2DABBAB3">
      <w:pPr>
        <w:keepNext w:val="0"/>
        <w:keepLines w:val="0"/>
        <w:pageBreakBefore w:val="0"/>
        <w:widowControl/>
        <w:kinsoku/>
        <w:wordWrap/>
        <w:overflowPunct/>
        <w:topLinePunct w:val="0"/>
        <w:autoSpaceDE/>
        <w:autoSpaceDN/>
        <w:bidi w:val="0"/>
        <w:adjustRightInd w:val="0"/>
        <w:snapToGrid w:val="0"/>
        <w:spacing w:line="600" w:lineRule="exact"/>
        <w:ind w:firstLine="640" w:firstLineChars="200"/>
        <w:contextualSpacing/>
        <w:jc w:val="left"/>
        <w:textAlignment w:val="auto"/>
        <w:rPr>
          <w:rFonts w:hint="default" w:ascii="Times New Roman" w:hAnsi="Times New Roman" w:eastAsia="楷体_GB2312" w:cs="Times New Roman"/>
          <w:b/>
          <w:bCs/>
          <w:color w:val="000000"/>
          <w:kern w:val="0"/>
          <w:sz w:val="32"/>
          <w:szCs w:val="32"/>
          <w:shd w:val="clear" w:color="auto" w:fill="FFFFFF"/>
          <w:lang w:val="zh-CN"/>
        </w:rPr>
      </w:pPr>
      <w:r>
        <w:rPr>
          <w:rFonts w:hint="default" w:ascii="Times New Roman" w:hAnsi="Times New Roman" w:eastAsia="楷体_GB2312" w:cs="Times New Roman"/>
          <w:b/>
          <w:bCs/>
          <w:color w:val="000000"/>
          <w:kern w:val="0"/>
          <w:sz w:val="32"/>
          <w:szCs w:val="32"/>
          <w:shd w:val="clear" w:color="auto" w:fill="FFFFFF"/>
          <w:lang w:val="zh-CN"/>
        </w:rPr>
        <w:t>（一）评价结论</w:t>
      </w:r>
    </w:p>
    <w:p w14:paraId="3242B367">
      <w:pPr>
        <w:keepNext w:val="0"/>
        <w:keepLines w:val="0"/>
        <w:pageBreakBefore w:val="0"/>
        <w:widowControl/>
        <w:kinsoku/>
        <w:wordWrap/>
        <w:overflowPunct/>
        <w:topLinePunct w:val="0"/>
        <w:autoSpaceDE/>
        <w:autoSpaceDN/>
        <w:bidi w:val="0"/>
        <w:adjustRightInd w:val="0"/>
        <w:snapToGrid w:val="0"/>
        <w:spacing w:line="600" w:lineRule="exact"/>
        <w:ind w:firstLine="640" w:firstLineChars="200"/>
        <w:contextualSpacing/>
        <w:jc w:val="both"/>
        <w:textAlignment w:val="auto"/>
        <w:rPr>
          <w:rFonts w:hint="default" w:ascii="Times New Roman" w:hAnsi="Times New Roman" w:eastAsia="仿宋_GB2312" w:cs="Times New Roman"/>
          <w:color w:val="auto"/>
          <w:kern w:val="0"/>
          <w:sz w:val="32"/>
          <w:szCs w:val="32"/>
          <w:lang w:val="zh-CN" w:eastAsia="zh-CN" w:bidi="ar-SA"/>
        </w:rPr>
      </w:pPr>
      <w:r>
        <w:rPr>
          <w:rFonts w:hint="default" w:ascii="Times New Roman" w:hAnsi="Times New Roman" w:eastAsia="仿宋_GB2312" w:cs="Times New Roman"/>
          <w:color w:val="auto"/>
          <w:kern w:val="0"/>
          <w:sz w:val="32"/>
          <w:szCs w:val="32"/>
          <w:lang w:val="zh-CN" w:eastAsia="zh-CN" w:bidi="ar-SA"/>
        </w:rPr>
        <w:t>202</w:t>
      </w:r>
      <w:r>
        <w:rPr>
          <w:rFonts w:hint="default" w:ascii="Times New Roman" w:hAnsi="Times New Roman" w:eastAsia="仿宋_GB2312" w:cs="Times New Roman"/>
          <w:color w:val="auto"/>
          <w:kern w:val="0"/>
          <w:sz w:val="32"/>
          <w:szCs w:val="32"/>
          <w:lang w:val="en-US" w:eastAsia="zh-CN" w:bidi="ar-SA"/>
        </w:rPr>
        <w:t>4</w:t>
      </w:r>
      <w:r>
        <w:rPr>
          <w:rFonts w:hint="default" w:ascii="Times New Roman" w:hAnsi="Times New Roman" w:eastAsia="仿宋_GB2312" w:cs="Times New Roman"/>
          <w:color w:val="auto"/>
          <w:kern w:val="0"/>
          <w:sz w:val="32"/>
          <w:szCs w:val="32"/>
          <w:lang w:val="zh-CN" w:eastAsia="zh-CN" w:bidi="ar-SA"/>
        </w:rPr>
        <w:t>年，攀枝花市社会保险事务中心着力推进社保改革任务落地落实、公共服务提质增效、运行管理提档升级、严防风险确保基金安全，推动全市社保经办事业高质量、可持续发展。扎实开展社保经办工作，不断提升人民群众获得感、幸福感和安全感，各项工作成效显著。继续确保各项社会保险待遇的按时足额发放和支付，维护参保人员合法权益，调整增加各类退休人员基本养老金，积极完善工伤保险信息系统功能，做好工伤保险预防工作，全面完成年初预算绩效目标及省级下达的目标任务。</w:t>
      </w:r>
    </w:p>
    <w:p w14:paraId="0DD4F5B7">
      <w:pPr>
        <w:keepNext w:val="0"/>
        <w:keepLines w:val="0"/>
        <w:pageBreakBefore w:val="0"/>
        <w:widowControl/>
        <w:kinsoku/>
        <w:wordWrap/>
        <w:overflowPunct/>
        <w:topLinePunct w:val="0"/>
        <w:autoSpaceDE/>
        <w:autoSpaceDN/>
        <w:bidi w:val="0"/>
        <w:adjustRightInd w:val="0"/>
        <w:snapToGrid w:val="0"/>
        <w:spacing w:line="600" w:lineRule="exact"/>
        <w:ind w:firstLine="640" w:firstLineChars="200"/>
        <w:contextualSpacing/>
        <w:jc w:val="left"/>
        <w:textAlignment w:val="auto"/>
        <w:rPr>
          <w:rFonts w:hint="default" w:ascii="Times New Roman" w:hAnsi="Times New Roman" w:eastAsia="楷体_GB2312" w:cs="Times New Roman"/>
          <w:b/>
          <w:bCs/>
          <w:color w:val="000000"/>
          <w:kern w:val="0"/>
          <w:sz w:val="32"/>
          <w:szCs w:val="32"/>
          <w:shd w:val="clear" w:color="auto" w:fill="FFFFFF"/>
          <w:lang w:val="zh-CN"/>
        </w:rPr>
      </w:pPr>
      <w:r>
        <w:rPr>
          <w:rFonts w:hint="default" w:ascii="Times New Roman" w:hAnsi="Times New Roman" w:eastAsia="楷体_GB2312" w:cs="Times New Roman"/>
          <w:b/>
          <w:bCs/>
          <w:color w:val="000000"/>
          <w:kern w:val="0"/>
          <w:sz w:val="32"/>
          <w:szCs w:val="32"/>
          <w:shd w:val="clear" w:color="auto" w:fill="FFFFFF"/>
          <w:lang w:val="zh-CN"/>
        </w:rPr>
        <w:t>（二）存在问题</w:t>
      </w:r>
    </w:p>
    <w:p w14:paraId="60AA2259">
      <w:pPr>
        <w:keepNext w:val="0"/>
        <w:keepLines w:val="0"/>
        <w:pageBreakBefore w:val="0"/>
        <w:widowControl/>
        <w:kinsoku/>
        <w:wordWrap/>
        <w:overflowPunct/>
        <w:topLinePunct w:val="0"/>
        <w:autoSpaceDE/>
        <w:autoSpaceDN/>
        <w:bidi w:val="0"/>
        <w:adjustRightInd w:val="0"/>
        <w:snapToGrid w:val="0"/>
        <w:spacing w:line="600" w:lineRule="exact"/>
        <w:ind w:firstLine="960" w:firstLineChars="300"/>
        <w:contextualSpacing/>
        <w:jc w:val="both"/>
        <w:textAlignment w:val="auto"/>
        <w:rPr>
          <w:rFonts w:hint="default" w:ascii="Times New Roman" w:hAnsi="Times New Roman" w:eastAsia="仿宋_GB2312" w:cs="Times New Roman"/>
          <w:color w:val="auto"/>
          <w:kern w:val="0"/>
          <w:sz w:val="32"/>
          <w:szCs w:val="32"/>
          <w:lang w:val="zh-CN" w:eastAsia="zh-CN" w:bidi="ar-SA"/>
        </w:rPr>
      </w:pPr>
      <w:r>
        <w:rPr>
          <w:rFonts w:hint="default" w:ascii="Times New Roman" w:hAnsi="Times New Roman" w:eastAsia="仿宋_GB2312" w:cs="Times New Roman"/>
          <w:color w:val="auto"/>
          <w:kern w:val="0"/>
          <w:sz w:val="32"/>
          <w:szCs w:val="32"/>
          <w:lang w:val="zh-CN" w:eastAsia="zh-CN" w:bidi="ar-SA"/>
        </w:rPr>
        <w:t>无。</w:t>
      </w:r>
    </w:p>
    <w:p w14:paraId="4C2A4664">
      <w:pPr>
        <w:keepNext w:val="0"/>
        <w:keepLines w:val="0"/>
        <w:pageBreakBefore w:val="0"/>
        <w:widowControl/>
        <w:kinsoku/>
        <w:wordWrap/>
        <w:overflowPunct/>
        <w:topLinePunct w:val="0"/>
        <w:autoSpaceDE/>
        <w:autoSpaceDN/>
        <w:bidi w:val="0"/>
        <w:adjustRightInd w:val="0"/>
        <w:snapToGrid w:val="0"/>
        <w:spacing w:line="600" w:lineRule="exact"/>
        <w:ind w:firstLine="640" w:firstLineChars="200"/>
        <w:contextualSpacing/>
        <w:jc w:val="left"/>
        <w:textAlignment w:val="auto"/>
        <w:rPr>
          <w:rFonts w:hint="default" w:ascii="Times New Roman" w:hAnsi="Times New Roman" w:eastAsia="楷体_GB2312" w:cs="Times New Roman"/>
          <w:b/>
          <w:bCs/>
          <w:color w:val="000000"/>
          <w:kern w:val="0"/>
          <w:sz w:val="32"/>
          <w:szCs w:val="32"/>
          <w:shd w:val="clear" w:color="auto" w:fill="FFFFFF"/>
          <w:lang w:val="zh-CN"/>
        </w:rPr>
      </w:pPr>
      <w:r>
        <w:rPr>
          <w:rFonts w:hint="default" w:ascii="Times New Roman" w:hAnsi="Times New Roman" w:eastAsia="楷体_GB2312" w:cs="Times New Roman"/>
          <w:b/>
          <w:bCs/>
          <w:color w:val="000000"/>
          <w:kern w:val="0"/>
          <w:sz w:val="32"/>
          <w:szCs w:val="32"/>
          <w:shd w:val="clear" w:color="auto" w:fill="FFFFFF"/>
          <w:lang w:val="zh-CN"/>
        </w:rPr>
        <w:t>（三）改进建议</w:t>
      </w:r>
      <w:bookmarkStart w:id="53" w:name="_Hlk110546638"/>
    </w:p>
    <w:bookmarkEnd w:id="53"/>
    <w:p w14:paraId="41F5D42E">
      <w:pPr>
        <w:keepNext w:val="0"/>
        <w:keepLines w:val="0"/>
        <w:pageBreakBefore w:val="0"/>
        <w:widowControl/>
        <w:kinsoku/>
        <w:wordWrap/>
        <w:overflowPunct/>
        <w:topLinePunct w:val="0"/>
        <w:autoSpaceDE/>
        <w:autoSpaceDN/>
        <w:bidi w:val="0"/>
        <w:adjustRightInd w:val="0"/>
        <w:snapToGrid w:val="0"/>
        <w:spacing w:line="600" w:lineRule="exact"/>
        <w:ind w:firstLine="640" w:firstLineChars="200"/>
        <w:contextualSpacing/>
        <w:jc w:val="both"/>
        <w:textAlignment w:val="auto"/>
        <w:rPr>
          <w:rFonts w:hint="default" w:ascii="Times New Roman" w:hAnsi="Times New Roman" w:eastAsia="仿宋_GB2312" w:cs="Times New Roman"/>
          <w:color w:val="auto"/>
          <w:kern w:val="0"/>
          <w:sz w:val="32"/>
          <w:szCs w:val="32"/>
          <w:lang w:val="zh-CN" w:eastAsia="zh-CN" w:bidi="ar-SA"/>
        </w:rPr>
      </w:pPr>
      <w:r>
        <w:rPr>
          <w:rFonts w:hint="default" w:ascii="Times New Roman" w:hAnsi="Times New Roman" w:eastAsia="仿宋_GB2312" w:cs="Times New Roman"/>
          <w:color w:val="auto"/>
          <w:kern w:val="0"/>
          <w:sz w:val="32"/>
          <w:szCs w:val="32"/>
          <w:lang w:val="zh-CN" w:eastAsia="zh-CN" w:bidi="ar-SA"/>
        </w:rPr>
        <w:t>在今后的工作中，我中心将加强与财政部门的紧密配合，开展好整体支出及项日资金绩效管理工作，运用好绩效评价的结果，不断提升预算管理水平。</w:t>
      </w:r>
    </w:p>
    <w:p w14:paraId="3CA1E566">
      <w:pPr>
        <w:pStyle w:val="7"/>
        <w:keepNext w:val="0"/>
        <w:keepLines w:val="0"/>
        <w:pageBreakBefore w:val="0"/>
        <w:numPr>
          <w:ilvl w:val="0"/>
          <w:numId w:val="0"/>
        </w:numPr>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kern w:val="2"/>
          <w:sz w:val="32"/>
          <w:szCs w:val="32"/>
          <w:u w:val="none"/>
          <w:lang w:val="zh-CN" w:eastAsia="zh-CN" w:bidi="ar"/>
        </w:rPr>
      </w:pPr>
      <w:r>
        <w:rPr>
          <w:rFonts w:hint="default" w:ascii="Times New Roman" w:hAnsi="Times New Roman" w:eastAsia="仿宋_GB2312" w:cs="Times New Roman"/>
          <w:kern w:val="2"/>
          <w:sz w:val="32"/>
          <w:szCs w:val="32"/>
          <w:u w:val="none"/>
          <w:lang w:val="zh-CN" w:eastAsia="zh-CN" w:bidi="ar"/>
        </w:rPr>
        <w:t>附表：</w:t>
      </w:r>
      <w:r>
        <w:rPr>
          <w:rFonts w:hint="default" w:ascii="Times New Roman" w:hAnsi="Times New Roman" w:eastAsia="仿宋_GB2312" w:cs="Times New Roman"/>
          <w:kern w:val="2"/>
          <w:sz w:val="32"/>
          <w:szCs w:val="32"/>
          <w:u w:val="none"/>
          <w:lang w:val="en-US" w:eastAsia="zh-CN" w:bidi="ar"/>
        </w:rPr>
        <w:t>部门预算项目支出绩效自评表（2024年度）</w:t>
      </w:r>
    </w:p>
    <w:tbl>
      <w:tblPr>
        <w:tblStyle w:val="18"/>
        <w:tblW w:w="914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56"/>
        <w:gridCol w:w="756"/>
        <w:gridCol w:w="760"/>
        <w:gridCol w:w="1354"/>
        <w:gridCol w:w="743"/>
        <w:gridCol w:w="891"/>
        <w:gridCol w:w="744"/>
        <w:gridCol w:w="891"/>
        <w:gridCol w:w="750"/>
        <w:gridCol w:w="750"/>
        <w:gridCol w:w="745"/>
      </w:tblGrid>
      <w:tr w14:paraId="56185C2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18" w:hRule="atLeast"/>
        </w:trPr>
        <w:tc>
          <w:tcPr>
            <w:tcW w:w="9140"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14:paraId="58A41ADC">
            <w:pPr>
              <w:keepNext w:val="0"/>
              <w:keepLines w:val="0"/>
              <w:widowControl/>
              <w:suppressLineNumbers w:val="0"/>
              <w:jc w:val="center"/>
              <w:textAlignment w:val="center"/>
              <w:rPr>
                <w:rFonts w:hint="default" w:ascii="Times New Roman" w:hAnsi="Times New Roman" w:eastAsia="黑体" w:cs="Times New Roman"/>
                <w:b/>
                <w:bCs/>
                <w:i w:val="0"/>
                <w:iCs w:val="0"/>
                <w:color w:val="000000"/>
                <w:sz w:val="30"/>
                <w:szCs w:val="30"/>
                <w:u w:val="none"/>
              </w:rPr>
            </w:pPr>
            <w:r>
              <w:rPr>
                <w:rFonts w:hint="default" w:ascii="Times New Roman" w:hAnsi="Times New Roman" w:eastAsia="黑体" w:cs="Times New Roman"/>
                <w:b/>
                <w:bCs/>
                <w:i w:val="0"/>
                <w:iCs w:val="0"/>
                <w:color w:val="000000"/>
                <w:kern w:val="0"/>
                <w:sz w:val="30"/>
                <w:szCs w:val="30"/>
                <w:u w:val="none"/>
                <w:lang w:val="en-US" w:eastAsia="zh-CN" w:bidi="ar"/>
              </w:rPr>
              <w:t>部门预算项目支出绩效自评表（2024年度）</w:t>
            </w:r>
          </w:p>
        </w:tc>
      </w:tr>
      <w:tr w14:paraId="43EE63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3" w:hRule="atLeast"/>
        </w:trPr>
        <w:tc>
          <w:tcPr>
            <w:tcW w:w="15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23453E0">
            <w:pPr>
              <w:keepNext w:val="0"/>
              <w:keepLines w:val="0"/>
              <w:widowControl/>
              <w:suppressLineNumbers w:val="0"/>
              <w:jc w:val="left"/>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项目名称</w:t>
            </w:r>
          </w:p>
        </w:tc>
        <w:tc>
          <w:tcPr>
            <w:tcW w:w="7596"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06A32836">
            <w:pPr>
              <w:keepNext w:val="0"/>
              <w:keepLines w:val="0"/>
              <w:widowControl/>
              <w:suppressLineNumbers w:val="0"/>
              <w:jc w:val="left"/>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51040023T000008702195-入驻政务中心单位租金、物业费及水电费</w:t>
            </w:r>
          </w:p>
        </w:tc>
      </w:tr>
      <w:tr w14:paraId="1BCDF4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7" w:hRule="atLeast"/>
        </w:trPr>
        <w:tc>
          <w:tcPr>
            <w:tcW w:w="15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6B441A6">
            <w:pPr>
              <w:keepNext w:val="0"/>
              <w:keepLines w:val="0"/>
              <w:widowControl/>
              <w:suppressLineNumbers w:val="0"/>
              <w:jc w:val="left"/>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主管部门</w:t>
            </w:r>
          </w:p>
        </w:tc>
        <w:tc>
          <w:tcPr>
            <w:tcW w:w="450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C988C65">
            <w:pPr>
              <w:keepNext w:val="0"/>
              <w:keepLines w:val="0"/>
              <w:widowControl/>
              <w:suppressLineNumbers w:val="0"/>
              <w:jc w:val="left"/>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攀枝花市社会保险事务中心</w:t>
            </w:r>
          </w:p>
        </w:tc>
        <w:tc>
          <w:tcPr>
            <w:tcW w:w="772" w:type="dxa"/>
            <w:tcBorders>
              <w:top w:val="nil"/>
              <w:left w:val="nil"/>
              <w:bottom w:val="nil"/>
              <w:right w:val="nil"/>
            </w:tcBorders>
            <w:shd w:val="clear" w:color="auto" w:fill="auto"/>
            <w:vAlign w:val="center"/>
          </w:tcPr>
          <w:p w14:paraId="6F8D9688">
            <w:pPr>
              <w:keepNext w:val="0"/>
              <w:keepLines w:val="0"/>
              <w:widowControl/>
              <w:suppressLineNumbers w:val="0"/>
              <w:jc w:val="left"/>
              <w:textAlignment w:val="center"/>
              <w:rPr>
                <w:rFonts w:hint="default" w:ascii="Times New Roman" w:hAnsi="Times New Roman" w:eastAsia="黑体" w:cs="Times New Roman"/>
                <w:i w:val="0"/>
                <w:iCs w:val="0"/>
                <w:color w:val="000000"/>
                <w:sz w:val="18"/>
                <w:szCs w:val="18"/>
                <w:u w:val="none"/>
              </w:rPr>
            </w:pPr>
            <w:r>
              <w:rPr>
                <w:rFonts w:hint="default" w:ascii="Times New Roman" w:hAnsi="Times New Roman" w:eastAsia="黑体" w:cs="Times New Roman"/>
                <w:i w:val="0"/>
                <w:iCs w:val="0"/>
                <w:color w:val="000000"/>
                <w:kern w:val="0"/>
                <w:sz w:val="18"/>
                <w:szCs w:val="18"/>
                <w:u w:val="none"/>
                <w:lang w:val="en-US" w:eastAsia="zh-CN" w:bidi="ar"/>
              </w:rPr>
              <w:t>实施单位 （盖章）</w:t>
            </w:r>
          </w:p>
        </w:tc>
        <w:tc>
          <w:tcPr>
            <w:tcW w:w="23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CD23F9E">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攀枝花市社会保险事务中心</w:t>
            </w:r>
          </w:p>
        </w:tc>
      </w:tr>
      <w:tr w14:paraId="2F6D46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3" w:hRule="atLeast"/>
        </w:trPr>
        <w:tc>
          <w:tcPr>
            <w:tcW w:w="77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E4E05F6">
            <w:pPr>
              <w:keepNext w:val="0"/>
              <w:keepLines w:val="0"/>
              <w:widowControl/>
              <w:suppressLineNumbers w:val="0"/>
              <w:jc w:val="left"/>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项目基本情况</w:t>
            </w:r>
          </w:p>
        </w:tc>
        <w:tc>
          <w:tcPr>
            <w:tcW w:w="77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BC53453">
            <w:pPr>
              <w:keepNext w:val="0"/>
              <w:keepLines w:val="0"/>
              <w:widowControl/>
              <w:suppressLineNumbers w:val="0"/>
              <w:jc w:val="left"/>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1.项目年度目标完成情况</w:t>
            </w:r>
          </w:p>
        </w:tc>
        <w:tc>
          <w:tcPr>
            <w:tcW w:w="450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06A844F">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项目年度目标</w:t>
            </w:r>
          </w:p>
        </w:tc>
        <w:tc>
          <w:tcPr>
            <w:tcW w:w="3091"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F67C2BF">
            <w:pPr>
              <w:keepNext w:val="0"/>
              <w:keepLines w:val="0"/>
              <w:widowControl/>
              <w:suppressLineNumbers w:val="0"/>
              <w:jc w:val="center"/>
              <w:textAlignment w:val="center"/>
              <w:rPr>
                <w:rFonts w:hint="default" w:ascii="Times New Roman" w:hAnsi="Times New Roman" w:eastAsia="黑体" w:cs="Times New Roman"/>
                <w:i w:val="0"/>
                <w:iCs w:val="0"/>
                <w:color w:val="000000"/>
                <w:sz w:val="18"/>
                <w:szCs w:val="18"/>
                <w:u w:val="none"/>
              </w:rPr>
            </w:pPr>
            <w:r>
              <w:rPr>
                <w:rFonts w:hint="default" w:ascii="Times New Roman" w:hAnsi="Times New Roman" w:eastAsia="黑体" w:cs="Times New Roman"/>
                <w:i w:val="0"/>
                <w:iCs w:val="0"/>
                <w:color w:val="000000"/>
                <w:kern w:val="0"/>
                <w:sz w:val="18"/>
                <w:szCs w:val="18"/>
                <w:u w:val="none"/>
                <w:lang w:val="en-US" w:eastAsia="zh-CN" w:bidi="ar"/>
              </w:rPr>
              <w:t>年度目标完成情况</w:t>
            </w:r>
          </w:p>
        </w:tc>
      </w:tr>
      <w:tr w14:paraId="79AFD1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1" w:hRule="atLeast"/>
        </w:trPr>
        <w:tc>
          <w:tcPr>
            <w:tcW w:w="7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E792F2B">
            <w:pPr>
              <w:rPr>
                <w:rFonts w:hint="default" w:ascii="Times New Roman" w:hAnsi="Times New Roman" w:eastAsia="宋体" w:cs="Times New Roman"/>
                <w:i w:val="0"/>
                <w:iCs w:val="0"/>
                <w:color w:val="000000"/>
                <w:sz w:val="18"/>
                <w:szCs w:val="18"/>
                <w:u w:val="none"/>
              </w:rPr>
            </w:pPr>
          </w:p>
        </w:tc>
        <w:tc>
          <w:tcPr>
            <w:tcW w:w="7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154090E">
            <w:pPr>
              <w:rPr>
                <w:rFonts w:hint="default" w:ascii="Times New Roman" w:hAnsi="Times New Roman" w:eastAsia="宋体" w:cs="Times New Roman"/>
                <w:i w:val="0"/>
                <w:iCs w:val="0"/>
                <w:color w:val="000000"/>
                <w:sz w:val="18"/>
                <w:szCs w:val="18"/>
                <w:u w:val="none"/>
              </w:rPr>
            </w:pPr>
          </w:p>
        </w:tc>
        <w:tc>
          <w:tcPr>
            <w:tcW w:w="450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19265E7">
            <w:pPr>
              <w:keepNext w:val="0"/>
              <w:keepLines w:val="0"/>
              <w:widowControl/>
              <w:suppressLineNumbers w:val="0"/>
              <w:jc w:val="left"/>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入驻政务中心单位租金、物业费及水电费</w:t>
            </w:r>
          </w:p>
        </w:tc>
        <w:tc>
          <w:tcPr>
            <w:tcW w:w="3091"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532EF67A">
            <w:pPr>
              <w:keepNext w:val="0"/>
              <w:keepLines w:val="0"/>
              <w:widowControl/>
              <w:suppressLineNumbers w:val="0"/>
              <w:jc w:val="left"/>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完成支付2024年入驻政务中心单位租金、物业费及水电费79.79万元，保障单位正常运转。</w:t>
            </w:r>
          </w:p>
        </w:tc>
      </w:tr>
      <w:tr w14:paraId="33A58E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0" w:hRule="atLeast"/>
        </w:trPr>
        <w:tc>
          <w:tcPr>
            <w:tcW w:w="7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6E2AB24">
            <w:pPr>
              <w:rPr>
                <w:rFonts w:hint="default" w:ascii="Times New Roman" w:hAnsi="Times New Roman" w:eastAsia="宋体" w:cs="Times New Roman"/>
                <w:i w:val="0"/>
                <w:iCs w:val="0"/>
                <w:color w:val="000000"/>
                <w:sz w:val="18"/>
                <w:szCs w:val="18"/>
                <w:u w:val="none"/>
              </w:rPr>
            </w:pP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1C2732">
            <w:pPr>
              <w:keepNext w:val="0"/>
              <w:keepLines w:val="0"/>
              <w:widowControl/>
              <w:suppressLineNumbers w:val="0"/>
              <w:jc w:val="left"/>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2.项目实施内容及过程概述</w:t>
            </w:r>
          </w:p>
        </w:tc>
        <w:tc>
          <w:tcPr>
            <w:tcW w:w="7596"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1EA2F270">
            <w:pPr>
              <w:keepNext w:val="0"/>
              <w:keepLines w:val="0"/>
              <w:widowControl/>
              <w:suppressLineNumbers w:val="0"/>
              <w:jc w:val="left"/>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按规定足额缴纳入驻政务中心单位租金、物业费及水电费。</w:t>
            </w:r>
          </w:p>
        </w:tc>
      </w:tr>
      <w:tr w14:paraId="3A9FC9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3" w:hRule="atLeast"/>
        </w:trPr>
        <w:tc>
          <w:tcPr>
            <w:tcW w:w="77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BA48F3A">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预算执行情况（10分）</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DD2EE9">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年度预算数（万元）</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D7A0EA">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年初预算</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74F0E5">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调整后预算数</w:t>
            </w:r>
          </w:p>
        </w:tc>
        <w:tc>
          <w:tcPr>
            <w:tcW w:w="231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32B093F">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预算执行数</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E4C85A">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预算执行率</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D85CF2">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权重</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B26C6B">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得分</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1C400D">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原因</w:t>
            </w:r>
          </w:p>
        </w:tc>
      </w:tr>
      <w:tr w14:paraId="19F570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7" w:hRule="atLeast"/>
        </w:trPr>
        <w:tc>
          <w:tcPr>
            <w:tcW w:w="7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29C5B38">
            <w:pPr>
              <w:jc w:val="center"/>
              <w:rPr>
                <w:rFonts w:hint="default" w:ascii="Times New Roman" w:hAnsi="Times New Roman" w:eastAsia="宋体" w:cs="Times New Roman"/>
                <w:i w:val="0"/>
                <w:iCs w:val="0"/>
                <w:color w:val="000000"/>
                <w:sz w:val="18"/>
                <w:szCs w:val="18"/>
                <w:u w:val="none"/>
              </w:rPr>
            </w:pP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C64561">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总额</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554AE6">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79.79</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6289FB">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79.79</w:t>
            </w:r>
          </w:p>
        </w:tc>
        <w:tc>
          <w:tcPr>
            <w:tcW w:w="231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EE111D9">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79.79</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56E450">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100.00%</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718AF0">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10</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D34BFC">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10</w:t>
            </w:r>
          </w:p>
        </w:tc>
        <w:tc>
          <w:tcPr>
            <w:tcW w:w="7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A504123">
            <w:pPr>
              <w:rPr>
                <w:rFonts w:hint="default" w:ascii="Times New Roman" w:hAnsi="Times New Roman" w:eastAsia="黑体" w:cs="Times New Roman"/>
                <w:i w:val="0"/>
                <w:iCs w:val="0"/>
                <w:color w:val="000000"/>
                <w:sz w:val="18"/>
                <w:szCs w:val="18"/>
                <w:u w:val="none"/>
              </w:rPr>
            </w:pPr>
          </w:p>
        </w:tc>
      </w:tr>
      <w:tr w14:paraId="1A94A6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7" w:hRule="atLeast"/>
        </w:trPr>
        <w:tc>
          <w:tcPr>
            <w:tcW w:w="7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BD3006E">
            <w:pPr>
              <w:jc w:val="center"/>
              <w:rPr>
                <w:rFonts w:hint="default" w:ascii="Times New Roman" w:hAnsi="Times New Roman" w:eastAsia="宋体" w:cs="Times New Roman"/>
                <w:i w:val="0"/>
                <w:iCs w:val="0"/>
                <w:color w:val="000000"/>
                <w:sz w:val="18"/>
                <w:szCs w:val="18"/>
                <w:u w:val="none"/>
              </w:rPr>
            </w:pP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74EC5F">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其中：财政资金</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8CD50C">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79.79</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BD34B9">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79.79</w:t>
            </w:r>
          </w:p>
        </w:tc>
        <w:tc>
          <w:tcPr>
            <w:tcW w:w="231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D8229D7">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79.79</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A67A36">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100.00%</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E90F05">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E2F118">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w:t>
            </w:r>
          </w:p>
        </w:tc>
        <w:tc>
          <w:tcPr>
            <w:tcW w:w="7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855437B">
            <w:pPr>
              <w:rPr>
                <w:rFonts w:hint="default" w:ascii="Times New Roman" w:hAnsi="Times New Roman" w:eastAsia="黑体" w:cs="Times New Roman"/>
                <w:i w:val="0"/>
                <w:iCs w:val="0"/>
                <w:color w:val="000000"/>
                <w:sz w:val="18"/>
                <w:szCs w:val="18"/>
                <w:u w:val="none"/>
              </w:rPr>
            </w:pPr>
          </w:p>
        </w:tc>
      </w:tr>
      <w:tr w14:paraId="6B09F4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7" w:hRule="atLeast"/>
        </w:trPr>
        <w:tc>
          <w:tcPr>
            <w:tcW w:w="7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81E8E70">
            <w:pPr>
              <w:jc w:val="center"/>
              <w:rPr>
                <w:rFonts w:hint="default" w:ascii="Times New Roman" w:hAnsi="Times New Roman" w:eastAsia="宋体" w:cs="Times New Roman"/>
                <w:i w:val="0"/>
                <w:iCs w:val="0"/>
                <w:color w:val="000000"/>
                <w:sz w:val="18"/>
                <w:szCs w:val="18"/>
                <w:u w:val="none"/>
              </w:rPr>
            </w:pP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C690C4">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财政专户管理资金</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74B1E5">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0.00</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C6183C">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0.00</w:t>
            </w:r>
          </w:p>
        </w:tc>
        <w:tc>
          <w:tcPr>
            <w:tcW w:w="231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5D73ABF">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0.00</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6F152D">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0.00%</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89A0E7">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24256C">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w:t>
            </w:r>
          </w:p>
        </w:tc>
        <w:tc>
          <w:tcPr>
            <w:tcW w:w="7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5FD97A6">
            <w:pPr>
              <w:rPr>
                <w:rFonts w:hint="default" w:ascii="Times New Roman" w:hAnsi="Times New Roman" w:eastAsia="黑体" w:cs="Times New Roman"/>
                <w:i w:val="0"/>
                <w:iCs w:val="0"/>
                <w:color w:val="000000"/>
                <w:sz w:val="18"/>
                <w:szCs w:val="18"/>
                <w:u w:val="none"/>
              </w:rPr>
            </w:pPr>
          </w:p>
        </w:tc>
      </w:tr>
      <w:tr w14:paraId="080A30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2" w:hRule="atLeast"/>
        </w:trPr>
        <w:tc>
          <w:tcPr>
            <w:tcW w:w="7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98EA634">
            <w:pPr>
              <w:jc w:val="center"/>
              <w:rPr>
                <w:rFonts w:hint="default" w:ascii="Times New Roman" w:hAnsi="Times New Roman" w:eastAsia="宋体" w:cs="Times New Roman"/>
                <w:i w:val="0"/>
                <w:iCs w:val="0"/>
                <w:color w:val="000000"/>
                <w:sz w:val="18"/>
                <w:szCs w:val="18"/>
                <w:u w:val="none"/>
              </w:rPr>
            </w:pP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0A94B2">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单位资金</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37F3A6">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0.00</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EC63BA">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0.00</w:t>
            </w:r>
          </w:p>
        </w:tc>
        <w:tc>
          <w:tcPr>
            <w:tcW w:w="231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37D79EC">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0.00</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52C2EA">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0.00%</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F14A00">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E42607">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w:t>
            </w:r>
          </w:p>
        </w:tc>
        <w:tc>
          <w:tcPr>
            <w:tcW w:w="7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C20F569">
            <w:pPr>
              <w:rPr>
                <w:rFonts w:hint="default" w:ascii="Times New Roman" w:hAnsi="Times New Roman" w:eastAsia="黑体" w:cs="Times New Roman"/>
                <w:i w:val="0"/>
                <w:iCs w:val="0"/>
                <w:color w:val="000000"/>
                <w:sz w:val="18"/>
                <w:szCs w:val="18"/>
                <w:u w:val="none"/>
              </w:rPr>
            </w:pPr>
          </w:p>
        </w:tc>
      </w:tr>
      <w:tr w14:paraId="3AB80D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0" w:hRule="atLeast"/>
        </w:trPr>
        <w:tc>
          <w:tcPr>
            <w:tcW w:w="7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37361E5">
            <w:pPr>
              <w:jc w:val="center"/>
              <w:rPr>
                <w:rFonts w:hint="default" w:ascii="Times New Roman" w:hAnsi="Times New Roman" w:eastAsia="宋体" w:cs="Times New Roman"/>
                <w:i w:val="0"/>
                <w:iCs w:val="0"/>
                <w:color w:val="000000"/>
                <w:sz w:val="18"/>
                <w:szCs w:val="18"/>
                <w:u w:val="none"/>
              </w:rPr>
            </w:pP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965CE8">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其他资金</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A513CA">
            <w:pPr>
              <w:jc w:val="center"/>
              <w:rPr>
                <w:rFonts w:hint="default" w:ascii="Times New Roman" w:hAnsi="Times New Roman" w:eastAsia="微软雅黑" w:cs="Times New Roman"/>
                <w:i/>
                <w:iCs/>
                <w:color w:val="000000"/>
                <w:sz w:val="16"/>
                <w:szCs w:val="16"/>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BB4721">
            <w:pPr>
              <w:jc w:val="center"/>
              <w:rPr>
                <w:rFonts w:hint="default" w:ascii="Times New Roman" w:hAnsi="Times New Roman" w:eastAsia="微软雅黑" w:cs="Times New Roman"/>
                <w:i/>
                <w:iCs/>
                <w:color w:val="000000"/>
                <w:sz w:val="16"/>
                <w:szCs w:val="16"/>
                <w:u w:val="none"/>
              </w:rPr>
            </w:pPr>
          </w:p>
        </w:tc>
        <w:tc>
          <w:tcPr>
            <w:tcW w:w="231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4155E2B">
            <w:pPr>
              <w:jc w:val="center"/>
              <w:rPr>
                <w:rFonts w:hint="default" w:ascii="Times New Roman" w:hAnsi="Times New Roman" w:eastAsia="微软雅黑" w:cs="Times New Roman"/>
                <w:i/>
                <w:iCs/>
                <w:color w:val="000000"/>
                <w:sz w:val="16"/>
                <w:szCs w:val="16"/>
                <w:u w:val="none"/>
              </w:rPr>
            </w:pP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AF86D6">
            <w:pPr>
              <w:jc w:val="center"/>
              <w:rPr>
                <w:rFonts w:hint="default" w:ascii="Times New Roman" w:hAnsi="Times New Roman" w:eastAsia="微软雅黑" w:cs="Times New Roman"/>
                <w:i/>
                <w:iCs/>
                <w:color w:val="000000"/>
                <w:sz w:val="16"/>
                <w:szCs w:val="16"/>
                <w:u w:val="none"/>
              </w:rPr>
            </w:pP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8D99B9">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4BFE6B">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w:t>
            </w:r>
          </w:p>
        </w:tc>
        <w:tc>
          <w:tcPr>
            <w:tcW w:w="7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91C61C4">
            <w:pPr>
              <w:rPr>
                <w:rFonts w:hint="default" w:ascii="Times New Roman" w:hAnsi="Times New Roman" w:eastAsia="黑体" w:cs="Times New Roman"/>
                <w:i w:val="0"/>
                <w:iCs w:val="0"/>
                <w:color w:val="000000"/>
                <w:sz w:val="18"/>
                <w:szCs w:val="18"/>
                <w:u w:val="none"/>
              </w:rPr>
            </w:pPr>
          </w:p>
        </w:tc>
      </w:tr>
      <w:tr w14:paraId="29D3FA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7" w:hRule="atLeast"/>
        </w:trPr>
        <w:tc>
          <w:tcPr>
            <w:tcW w:w="77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3AC8F9E">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绩效指标（90分）</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AA0BE1">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一级指标</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BD4951">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二级指标</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22D7A0">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三级指标</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E14F52">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指标性质</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BC9C77">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指标值</w:t>
            </w:r>
          </w:p>
        </w:tc>
        <w:tc>
          <w:tcPr>
            <w:tcW w:w="7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07CDE4">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度量单位</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192FAE">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完成值</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0FC257">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权重</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C01DBB">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得分</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C0ECAE">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未完成原因分析</w:t>
            </w:r>
          </w:p>
        </w:tc>
      </w:tr>
      <w:tr w14:paraId="19EE91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7" w:hRule="atLeast"/>
        </w:trPr>
        <w:tc>
          <w:tcPr>
            <w:tcW w:w="7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50B68C2">
            <w:pPr>
              <w:jc w:val="center"/>
              <w:rPr>
                <w:rFonts w:hint="default" w:ascii="Times New Roman" w:hAnsi="Times New Roman" w:eastAsia="宋体" w:cs="Times New Roman"/>
                <w:i w:val="0"/>
                <w:iCs w:val="0"/>
                <w:color w:val="000000"/>
                <w:sz w:val="18"/>
                <w:szCs w:val="18"/>
                <w:u w:val="none"/>
              </w:rPr>
            </w:pPr>
          </w:p>
        </w:tc>
        <w:tc>
          <w:tcPr>
            <w:tcW w:w="77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716CF08">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产出指标</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20D35C">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数量指标</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29DAF2">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入驻政务中心单位租金、物业费及水电费</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B79D25">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548595">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797876.4</w:t>
            </w:r>
          </w:p>
        </w:tc>
        <w:tc>
          <w:tcPr>
            <w:tcW w:w="7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C70451">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元/年</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CA3742">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797876.4元</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BE2A25">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10</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1F5DF4">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10</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626E16">
            <w:pPr>
              <w:jc w:val="center"/>
              <w:rPr>
                <w:rFonts w:hint="default" w:ascii="Times New Roman" w:hAnsi="Times New Roman" w:eastAsia="微软雅黑" w:cs="Times New Roman"/>
                <w:i/>
                <w:iCs/>
                <w:color w:val="000000"/>
                <w:sz w:val="16"/>
                <w:szCs w:val="16"/>
                <w:u w:val="none"/>
              </w:rPr>
            </w:pPr>
          </w:p>
        </w:tc>
      </w:tr>
      <w:tr w14:paraId="570AE0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2" w:hRule="atLeast"/>
        </w:trPr>
        <w:tc>
          <w:tcPr>
            <w:tcW w:w="7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74BD13C">
            <w:pPr>
              <w:jc w:val="center"/>
              <w:rPr>
                <w:rFonts w:hint="default" w:ascii="Times New Roman" w:hAnsi="Times New Roman" w:eastAsia="宋体" w:cs="Times New Roman"/>
                <w:i w:val="0"/>
                <w:iCs w:val="0"/>
                <w:color w:val="000000"/>
                <w:sz w:val="18"/>
                <w:szCs w:val="18"/>
                <w:u w:val="none"/>
              </w:rPr>
            </w:pPr>
          </w:p>
        </w:tc>
        <w:tc>
          <w:tcPr>
            <w:tcW w:w="7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B15DA75">
            <w:pPr>
              <w:jc w:val="center"/>
              <w:rPr>
                <w:rFonts w:hint="default" w:ascii="Times New Roman" w:hAnsi="Times New Roman" w:eastAsia="宋体" w:cs="Times New Roman"/>
                <w:i w:val="0"/>
                <w:iCs w:val="0"/>
                <w:color w:val="000000"/>
                <w:sz w:val="18"/>
                <w:szCs w:val="18"/>
                <w:u w:val="none"/>
              </w:rPr>
            </w:pP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E195AC">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质量指标</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5FD3B9">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按时缴纳</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FF33CD">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定性</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E65CB0">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全额缴纳</w:t>
            </w:r>
          </w:p>
        </w:tc>
        <w:tc>
          <w:tcPr>
            <w:tcW w:w="7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ECEC4C">
            <w:pPr>
              <w:jc w:val="center"/>
              <w:rPr>
                <w:rFonts w:hint="default" w:ascii="Times New Roman" w:hAnsi="Times New Roman" w:eastAsia="宋体" w:cs="Times New Roman"/>
                <w:i w:val="0"/>
                <w:iCs w:val="0"/>
                <w:color w:val="000000"/>
                <w:sz w:val="18"/>
                <w:szCs w:val="18"/>
                <w:u w:val="none"/>
              </w:rPr>
            </w:pP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CE1DE2">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全额缴纳</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2BAA88">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15</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E3E258">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15</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3CC057">
            <w:pPr>
              <w:jc w:val="center"/>
              <w:rPr>
                <w:rFonts w:hint="default" w:ascii="Times New Roman" w:hAnsi="Times New Roman" w:eastAsia="微软雅黑" w:cs="Times New Roman"/>
                <w:i/>
                <w:iCs/>
                <w:color w:val="000000"/>
                <w:sz w:val="16"/>
                <w:szCs w:val="16"/>
                <w:u w:val="none"/>
              </w:rPr>
            </w:pPr>
          </w:p>
        </w:tc>
      </w:tr>
      <w:tr w14:paraId="270110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2" w:hRule="atLeast"/>
        </w:trPr>
        <w:tc>
          <w:tcPr>
            <w:tcW w:w="7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92FD0B6">
            <w:pPr>
              <w:jc w:val="center"/>
              <w:rPr>
                <w:rFonts w:hint="default" w:ascii="Times New Roman" w:hAnsi="Times New Roman" w:eastAsia="宋体" w:cs="Times New Roman"/>
                <w:i w:val="0"/>
                <w:iCs w:val="0"/>
                <w:color w:val="000000"/>
                <w:sz w:val="18"/>
                <w:szCs w:val="18"/>
                <w:u w:val="none"/>
              </w:rPr>
            </w:pPr>
          </w:p>
        </w:tc>
        <w:tc>
          <w:tcPr>
            <w:tcW w:w="7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F23A8C4">
            <w:pPr>
              <w:jc w:val="center"/>
              <w:rPr>
                <w:rFonts w:hint="default" w:ascii="Times New Roman" w:hAnsi="Times New Roman" w:eastAsia="宋体" w:cs="Times New Roman"/>
                <w:i w:val="0"/>
                <w:iCs w:val="0"/>
                <w:color w:val="000000"/>
                <w:sz w:val="18"/>
                <w:szCs w:val="18"/>
                <w:u w:val="none"/>
              </w:rPr>
            </w:pP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2CCCAF">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时效指标</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68F359">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完成时间</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A8713B">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425684">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w:t>
            </w:r>
          </w:p>
        </w:tc>
        <w:tc>
          <w:tcPr>
            <w:tcW w:w="7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BD85A3">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年</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F61F0A">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1年内完成</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2375EF">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15</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97E484">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15</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DB924B">
            <w:pPr>
              <w:jc w:val="center"/>
              <w:rPr>
                <w:rFonts w:hint="default" w:ascii="Times New Roman" w:hAnsi="Times New Roman" w:eastAsia="微软雅黑" w:cs="Times New Roman"/>
                <w:i/>
                <w:iCs/>
                <w:color w:val="000000"/>
                <w:sz w:val="16"/>
                <w:szCs w:val="16"/>
                <w:u w:val="none"/>
              </w:rPr>
            </w:pPr>
          </w:p>
        </w:tc>
      </w:tr>
      <w:tr w14:paraId="63F8D8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7" w:hRule="atLeast"/>
        </w:trPr>
        <w:tc>
          <w:tcPr>
            <w:tcW w:w="7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08A365E">
            <w:pPr>
              <w:jc w:val="center"/>
              <w:rPr>
                <w:rFonts w:hint="default" w:ascii="Times New Roman" w:hAnsi="Times New Roman" w:eastAsia="宋体" w:cs="Times New Roman"/>
                <w:i w:val="0"/>
                <w:iCs w:val="0"/>
                <w:color w:val="000000"/>
                <w:sz w:val="18"/>
                <w:szCs w:val="18"/>
                <w:u w:val="none"/>
              </w:rPr>
            </w:pP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668586">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效益指标</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E417FD">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社会效益指标</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3D4C1A">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保障单位正常运转</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BA6BB1">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定性</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DEBA6E">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良好</w:t>
            </w:r>
          </w:p>
        </w:tc>
        <w:tc>
          <w:tcPr>
            <w:tcW w:w="7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9A370E">
            <w:pPr>
              <w:jc w:val="center"/>
              <w:rPr>
                <w:rFonts w:hint="default" w:ascii="Times New Roman" w:hAnsi="Times New Roman" w:eastAsia="宋体" w:cs="Times New Roman"/>
                <w:i w:val="0"/>
                <w:iCs w:val="0"/>
                <w:color w:val="000000"/>
                <w:sz w:val="18"/>
                <w:szCs w:val="18"/>
                <w:u w:val="none"/>
              </w:rPr>
            </w:pP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085DF6">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良好</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02A6E4">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20</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21F4E3">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20</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9249CD">
            <w:pPr>
              <w:jc w:val="center"/>
              <w:rPr>
                <w:rFonts w:hint="default" w:ascii="Times New Roman" w:hAnsi="Times New Roman" w:eastAsia="微软雅黑" w:cs="Times New Roman"/>
                <w:i/>
                <w:iCs/>
                <w:color w:val="000000"/>
                <w:sz w:val="16"/>
                <w:szCs w:val="16"/>
                <w:u w:val="none"/>
              </w:rPr>
            </w:pPr>
          </w:p>
        </w:tc>
      </w:tr>
      <w:tr w14:paraId="119192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0" w:hRule="atLeast"/>
        </w:trPr>
        <w:tc>
          <w:tcPr>
            <w:tcW w:w="7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B10502F">
            <w:pPr>
              <w:jc w:val="center"/>
              <w:rPr>
                <w:rFonts w:hint="default" w:ascii="Times New Roman" w:hAnsi="Times New Roman" w:eastAsia="宋体" w:cs="Times New Roman"/>
                <w:i w:val="0"/>
                <w:iCs w:val="0"/>
                <w:color w:val="000000"/>
                <w:sz w:val="18"/>
                <w:szCs w:val="18"/>
                <w:u w:val="none"/>
              </w:rPr>
            </w:pP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CE2F20">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满意度指标</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34F424">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服务对象满意度指标</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A9BE1F">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物业公司</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9E108A">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定性</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D77ADB">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满意</w:t>
            </w:r>
          </w:p>
        </w:tc>
        <w:tc>
          <w:tcPr>
            <w:tcW w:w="7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96635E">
            <w:pPr>
              <w:jc w:val="center"/>
              <w:rPr>
                <w:rFonts w:hint="default" w:ascii="Times New Roman" w:hAnsi="Times New Roman" w:eastAsia="宋体" w:cs="Times New Roman"/>
                <w:i w:val="0"/>
                <w:iCs w:val="0"/>
                <w:color w:val="000000"/>
                <w:sz w:val="18"/>
                <w:szCs w:val="18"/>
                <w:u w:val="none"/>
              </w:rPr>
            </w:pP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0DF4D4">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满意</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2DD6EA">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10</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7DE0E1">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10</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D0A0B4">
            <w:pPr>
              <w:jc w:val="center"/>
              <w:rPr>
                <w:rFonts w:hint="default" w:ascii="Times New Roman" w:hAnsi="Times New Roman" w:eastAsia="微软雅黑" w:cs="Times New Roman"/>
                <w:i/>
                <w:iCs/>
                <w:color w:val="000000"/>
                <w:sz w:val="16"/>
                <w:szCs w:val="16"/>
                <w:u w:val="none"/>
              </w:rPr>
            </w:pPr>
          </w:p>
        </w:tc>
      </w:tr>
      <w:tr w14:paraId="16D8DF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7" w:hRule="atLeast"/>
        </w:trPr>
        <w:tc>
          <w:tcPr>
            <w:tcW w:w="7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EDF67B4">
            <w:pPr>
              <w:jc w:val="center"/>
              <w:rPr>
                <w:rFonts w:hint="default" w:ascii="Times New Roman" w:hAnsi="Times New Roman" w:eastAsia="宋体" w:cs="Times New Roman"/>
                <w:i w:val="0"/>
                <w:iCs w:val="0"/>
                <w:color w:val="000000"/>
                <w:sz w:val="18"/>
                <w:szCs w:val="18"/>
                <w:u w:val="none"/>
              </w:rPr>
            </w:pP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50C3A7">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成本指标</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39526C">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经济成本指标</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81D923">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入驻政务中心单位租金、物业费及水电费</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7D395D">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08B028">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797876.4</w:t>
            </w:r>
          </w:p>
        </w:tc>
        <w:tc>
          <w:tcPr>
            <w:tcW w:w="7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BEB577">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元/年</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3D679C">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797876.4元</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7A9F2B">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20</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BBC519">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20</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136653">
            <w:pPr>
              <w:jc w:val="center"/>
              <w:rPr>
                <w:rFonts w:hint="default" w:ascii="Times New Roman" w:hAnsi="Times New Roman" w:eastAsia="微软雅黑" w:cs="Times New Roman"/>
                <w:i/>
                <w:iCs/>
                <w:color w:val="000000"/>
                <w:sz w:val="16"/>
                <w:szCs w:val="16"/>
                <w:u w:val="none"/>
              </w:rPr>
            </w:pPr>
          </w:p>
        </w:tc>
      </w:tr>
      <w:tr w14:paraId="45849D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3" w:hRule="atLeast"/>
        </w:trPr>
        <w:tc>
          <w:tcPr>
            <w:tcW w:w="6821"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12289A7C">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合计</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5D95C8">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100</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754932">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100</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4D3C28">
            <w:pPr>
              <w:rPr>
                <w:rFonts w:hint="default" w:ascii="Times New Roman" w:hAnsi="Times New Roman" w:eastAsia="宋体" w:cs="Times New Roman"/>
                <w:i w:val="0"/>
                <w:iCs w:val="0"/>
                <w:color w:val="000000"/>
                <w:sz w:val="18"/>
                <w:szCs w:val="18"/>
                <w:u w:val="none"/>
              </w:rPr>
            </w:pPr>
          </w:p>
        </w:tc>
      </w:tr>
      <w:tr w14:paraId="7973BA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6" w:hRule="atLeast"/>
        </w:trPr>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C846E9">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评价结论</w:t>
            </w:r>
          </w:p>
        </w:tc>
        <w:tc>
          <w:tcPr>
            <w:tcW w:w="8368"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34FF6A30">
            <w:pPr>
              <w:keepNext w:val="0"/>
              <w:keepLines w:val="0"/>
              <w:widowControl/>
              <w:suppressLineNumbers w:val="0"/>
              <w:jc w:val="left"/>
              <w:textAlignment w:val="center"/>
              <w:rPr>
                <w:rFonts w:hint="default" w:ascii="Times New Roman" w:hAnsi="Times New Roman" w:eastAsia="微软雅黑" w:cs="Times New Roman"/>
                <w:i w:val="0"/>
                <w:iCs w:val="0"/>
                <w:color w:val="000000"/>
                <w:sz w:val="16"/>
                <w:szCs w:val="16"/>
                <w:u w:val="none"/>
              </w:rPr>
            </w:pPr>
            <w:r>
              <w:rPr>
                <w:rFonts w:hint="default" w:ascii="Times New Roman" w:hAnsi="Times New Roman" w:eastAsia="微软雅黑" w:cs="Times New Roman"/>
                <w:i w:val="0"/>
                <w:iCs w:val="0"/>
                <w:color w:val="000000"/>
                <w:kern w:val="0"/>
                <w:sz w:val="16"/>
                <w:szCs w:val="16"/>
                <w:u w:val="none"/>
                <w:lang w:val="en-US" w:eastAsia="zh-CN" w:bidi="ar"/>
              </w:rPr>
              <w:t>项目自评总分100分，按规定足额缴纳入驻政务中心单位租金、物业费及水电费，保障单位正常运转。2023年完成支付入79.79万元，预算执行率100%。</w:t>
            </w:r>
          </w:p>
        </w:tc>
      </w:tr>
      <w:tr w14:paraId="4F2925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4" w:hRule="atLeast"/>
        </w:trPr>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90E59C">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存在问题</w:t>
            </w:r>
          </w:p>
        </w:tc>
        <w:tc>
          <w:tcPr>
            <w:tcW w:w="8368"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33225D2F">
            <w:pPr>
              <w:keepNext w:val="0"/>
              <w:keepLines w:val="0"/>
              <w:widowControl/>
              <w:suppressLineNumbers w:val="0"/>
              <w:jc w:val="left"/>
              <w:textAlignment w:val="center"/>
              <w:rPr>
                <w:rFonts w:hint="default" w:ascii="Times New Roman" w:hAnsi="Times New Roman" w:eastAsia="微软雅黑" w:cs="Times New Roman"/>
                <w:i w:val="0"/>
                <w:iCs w:val="0"/>
                <w:color w:val="000000"/>
                <w:sz w:val="16"/>
                <w:szCs w:val="16"/>
                <w:u w:val="none"/>
              </w:rPr>
            </w:pPr>
            <w:r>
              <w:rPr>
                <w:rFonts w:hint="default" w:ascii="Times New Roman" w:hAnsi="Times New Roman" w:eastAsia="微软雅黑" w:cs="Times New Roman"/>
                <w:i w:val="0"/>
                <w:iCs w:val="0"/>
                <w:color w:val="000000"/>
                <w:kern w:val="0"/>
                <w:sz w:val="16"/>
                <w:szCs w:val="16"/>
                <w:u w:val="none"/>
                <w:lang w:val="en-US" w:eastAsia="zh-CN" w:bidi="ar"/>
              </w:rPr>
              <w:t>无</w:t>
            </w:r>
          </w:p>
        </w:tc>
      </w:tr>
      <w:tr w14:paraId="3E4AB7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6" w:hRule="atLeast"/>
        </w:trPr>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8B1C60">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改进措施</w:t>
            </w:r>
          </w:p>
        </w:tc>
        <w:tc>
          <w:tcPr>
            <w:tcW w:w="8368"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783594B7">
            <w:pPr>
              <w:keepNext w:val="0"/>
              <w:keepLines w:val="0"/>
              <w:widowControl/>
              <w:suppressLineNumbers w:val="0"/>
              <w:jc w:val="left"/>
              <w:textAlignment w:val="center"/>
              <w:rPr>
                <w:rFonts w:hint="default" w:ascii="Times New Roman" w:hAnsi="Times New Roman" w:eastAsia="微软雅黑" w:cs="Times New Roman"/>
                <w:i w:val="0"/>
                <w:iCs w:val="0"/>
                <w:color w:val="000000"/>
                <w:sz w:val="16"/>
                <w:szCs w:val="16"/>
                <w:u w:val="none"/>
              </w:rPr>
            </w:pPr>
            <w:r>
              <w:rPr>
                <w:rFonts w:hint="default" w:ascii="Times New Roman" w:hAnsi="Times New Roman" w:eastAsia="微软雅黑" w:cs="Times New Roman"/>
                <w:i w:val="0"/>
                <w:iCs w:val="0"/>
                <w:color w:val="000000"/>
                <w:kern w:val="0"/>
                <w:sz w:val="16"/>
                <w:szCs w:val="16"/>
                <w:u w:val="none"/>
                <w:lang w:val="en-US" w:eastAsia="zh-CN" w:bidi="ar"/>
              </w:rPr>
              <w:t>无</w:t>
            </w:r>
          </w:p>
        </w:tc>
      </w:tr>
      <w:tr w14:paraId="119EAB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3" w:hRule="atLeast"/>
        </w:trPr>
        <w:tc>
          <w:tcPr>
            <w:tcW w:w="4504"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B151C7F">
            <w:pPr>
              <w:keepNext w:val="0"/>
              <w:keepLines w:val="0"/>
              <w:widowControl/>
              <w:suppressLineNumbers w:val="0"/>
              <w:jc w:val="left"/>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项目负责人：高礼银</w:t>
            </w:r>
          </w:p>
        </w:tc>
        <w:tc>
          <w:tcPr>
            <w:tcW w:w="463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2FFAA0EF">
            <w:pPr>
              <w:keepNext w:val="0"/>
              <w:keepLines w:val="0"/>
              <w:widowControl/>
              <w:suppressLineNumbers w:val="0"/>
              <w:jc w:val="left"/>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财务负责人：毛嵩</w:t>
            </w:r>
          </w:p>
        </w:tc>
      </w:tr>
    </w:tbl>
    <w:p w14:paraId="60D62394">
      <w:pPr>
        <w:rPr>
          <w:rFonts w:hint="default" w:ascii="Times New Roman" w:hAnsi="Times New Roman" w:eastAsia="黑体" w:cs="Times New Roman"/>
          <w:color w:val="auto"/>
          <w:kern w:val="0"/>
          <w:sz w:val="32"/>
          <w:szCs w:val="32"/>
          <w:highlight w:val="none"/>
          <w:shd w:val="clear" w:color="auto" w:fill="FFFFFF"/>
          <w:lang w:val="zh-CN"/>
        </w:rPr>
      </w:pPr>
    </w:p>
    <w:p w14:paraId="26828416">
      <w:pPr>
        <w:rPr>
          <w:rFonts w:hint="default" w:ascii="Times New Roman" w:hAnsi="Times New Roman" w:eastAsia="黑体" w:cs="Times New Roman"/>
          <w:color w:val="auto"/>
          <w:kern w:val="0"/>
          <w:sz w:val="32"/>
          <w:szCs w:val="32"/>
          <w:highlight w:val="none"/>
          <w:shd w:val="clear" w:color="auto" w:fill="FFFFFF"/>
          <w:lang w:val="zh-CN"/>
        </w:rPr>
      </w:pPr>
    </w:p>
    <w:p w14:paraId="5BC490D5">
      <w:pPr>
        <w:rPr>
          <w:rFonts w:hint="default" w:ascii="Times New Roman" w:hAnsi="Times New Roman" w:eastAsia="黑体" w:cs="Times New Roman"/>
          <w:color w:val="auto"/>
          <w:kern w:val="0"/>
          <w:sz w:val="32"/>
          <w:szCs w:val="32"/>
          <w:highlight w:val="none"/>
          <w:shd w:val="clear" w:color="auto" w:fill="FFFFFF"/>
          <w:lang w:val="zh-CN"/>
        </w:rPr>
      </w:pPr>
    </w:p>
    <w:tbl>
      <w:tblPr>
        <w:tblStyle w:val="18"/>
        <w:tblW w:w="912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67"/>
        <w:gridCol w:w="768"/>
        <w:gridCol w:w="768"/>
        <w:gridCol w:w="1373"/>
        <w:gridCol w:w="762"/>
        <w:gridCol w:w="764"/>
        <w:gridCol w:w="764"/>
        <w:gridCol w:w="861"/>
        <w:gridCol w:w="764"/>
        <w:gridCol w:w="764"/>
        <w:gridCol w:w="765"/>
      </w:tblGrid>
      <w:tr w14:paraId="25C79CF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4" w:hRule="atLeast"/>
        </w:trPr>
        <w:tc>
          <w:tcPr>
            <w:tcW w:w="9120"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14:paraId="24CCB7A7">
            <w:pPr>
              <w:keepNext w:val="0"/>
              <w:keepLines w:val="0"/>
              <w:widowControl/>
              <w:suppressLineNumbers w:val="0"/>
              <w:jc w:val="center"/>
              <w:textAlignment w:val="center"/>
              <w:rPr>
                <w:rFonts w:hint="default" w:ascii="Times New Roman" w:hAnsi="Times New Roman" w:eastAsia="黑体" w:cs="Times New Roman"/>
                <w:b/>
                <w:bCs/>
                <w:i w:val="0"/>
                <w:iCs w:val="0"/>
                <w:color w:val="000000"/>
                <w:sz w:val="30"/>
                <w:szCs w:val="30"/>
                <w:u w:val="none"/>
              </w:rPr>
            </w:pPr>
            <w:r>
              <w:rPr>
                <w:rFonts w:hint="default" w:ascii="Times New Roman" w:hAnsi="Times New Roman" w:eastAsia="黑体" w:cs="Times New Roman"/>
                <w:b/>
                <w:bCs/>
                <w:i w:val="0"/>
                <w:iCs w:val="0"/>
                <w:color w:val="000000"/>
                <w:kern w:val="0"/>
                <w:sz w:val="30"/>
                <w:szCs w:val="30"/>
                <w:u w:val="none"/>
                <w:lang w:val="en-US" w:eastAsia="zh-CN" w:bidi="ar"/>
              </w:rPr>
              <w:t>部门预算项目支出绩效自评表（2024年度）</w:t>
            </w:r>
          </w:p>
        </w:tc>
      </w:tr>
      <w:tr w14:paraId="20C53D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15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FA48285">
            <w:pPr>
              <w:keepNext w:val="0"/>
              <w:keepLines w:val="0"/>
              <w:widowControl/>
              <w:suppressLineNumbers w:val="0"/>
              <w:jc w:val="left"/>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项目名称</w:t>
            </w:r>
          </w:p>
        </w:tc>
        <w:tc>
          <w:tcPr>
            <w:tcW w:w="7575"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7555FFF7">
            <w:pPr>
              <w:keepNext w:val="0"/>
              <w:keepLines w:val="0"/>
              <w:widowControl/>
              <w:suppressLineNumbers w:val="0"/>
              <w:jc w:val="left"/>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51040022T000005992222-社保公共服务能力建设资金</w:t>
            </w:r>
          </w:p>
        </w:tc>
      </w:tr>
      <w:tr w14:paraId="242E13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2" w:hRule="atLeast"/>
        </w:trPr>
        <w:tc>
          <w:tcPr>
            <w:tcW w:w="15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3A5B3B5">
            <w:pPr>
              <w:keepNext w:val="0"/>
              <w:keepLines w:val="0"/>
              <w:widowControl/>
              <w:suppressLineNumbers w:val="0"/>
              <w:jc w:val="left"/>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主管部门</w:t>
            </w:r>
          </w:p>
        </w:tc>
        <w:tc>
          <w:tcPr>
            <w:tcW w:w="4484"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32D23DF">
            <w:pPr>
              <w:keepNext w:val="0"/>
              <w:keepLines w:val="0"/>
              <w:widowControl/>
              <w:suppressLineNumbers w:val="0"/>
              <w:jc w:val="left"/>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攀枝花市社会保险事务中心</w:t>
            </w:r>
          </w:p>
        </w:tc>
        <w:tc>
          <w:tcPr>
            <w:tcW w:w="772" w:type="dxa"/>
            <w:tcBorders>
              <w:top w:val="nil"/>
              <w:left w:val="nil"/>
              <w:bottom w:val="nil"/>
              <w:right w:val="nil"/>
            </w:tcBorders>
            <w:shd w:val="clear" w:color="auto" w:fill="auto"/>
            <w:vAlign w:val="center"/>
          </w:tcPr>
          <w:p w14:paraId="22191424">
            <w:pPr>
              <w:keepNext w:val="0"/>
              <w:keepLines w:val="0"/>
              <w:widowControl/>
              <w:suppressLineNumbers w:val="0"/>
              <w:jc w:val="left"/>
              <w:textAlignment w:val="center"/>
              <w:rPr>
                <w:rFonts w:hint="default" w:ascii="Times New Roman" w:hAnsi="Times New Roman" w:eastAsia="黑体" w:cs="Times New Roman"/>
                <w:i w:val="0"/>
                <w:iCs w:val="0"/>
                <w:color w:val="000000"/>
                <w:sz w:val="18"/>
                <w:szCs w:val="18"/>
                <w:u w:val="none"/>
              </w:rPr>
            </w:pPr>
            <w:r>
              <w:rPr>
                <w:rFonts w:hint="default" w:ascii="Times New Roman" w:hAnsi="Times New Roman" w:eastAsia="黑体" w:cs="Times New Roman"/>
                <w:i w:val="0"/>
                <w:iCs w:val="0"/>
                <w:color w:val="000000"/>
                <w:kern w:val="0"/>
                <w:sz w:val="18"/>
                <w:szCs w:val="18"/>
                <w:u w:val="none"/>
                <w:lang w:val="en-US" w:eastAsia="zh-CN" w:bidi="ar"/>
              </w:rPr>
              <w:t>实施单位 （盖章）</w:t>
            </w:r>
          </w:p>
        </w:tc>
        <w:tc>
          <w:tcPr>
            <w:tcW w:w="23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E10B610">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攀枝花市社会保险事务中心</w:t>
            </w:r>
          </w:p>
        </w:tc>
      </w:tr>
      <w:tr w14:paraId="708B9A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77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5A6B3E1">
            <w:pPr>
              <w:keepNext w:val="0"/>
              <w:keepLines w:val="0"/>
              <w:widowControl/>
              <w:suppressLineNumbers w:val="0"/>
              <w:jc w:val="left"/>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项目基本情况</w:t>
            </w:r>
          </w:p>
        </w:tc>
        <w:tc>
          <w:tcPr>
            <w:tcW w:w="77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2BDF588">
            <w:pPr>
              <w:keepNext w:val="0"/>
              <w:keepLines w:val="0"/>
              <w:widowControl/>
              <w:suppressLineNumbers w:val="0"/>
              <w:jc w:val="left"/>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1.项目年度目标完成情况</w:t>
            </w:r>
          </w:p>
        </w:tc>
        <w:tc>
          <w:tcPr>
            <w:tcW w:w="4484"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040BFCF">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项目年度目标</w:t>
            </w:r>
          </w:p>
        </w:tc>
        <w:tc>
          <w:tcPr>
            <w:tcW w:w="3091"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3B962254">
            <w:pPr>
              <w:keepNext w:val="0"/>
              <w:keepLines w:val="0"/>
              <w:widowControl/>
              <w:suppressLineNumbers w:val="0"/>
              <w:jc w:val="center"/>
              <w:textAlignment w:val="center"/>
              <w:rPr>
                <w:rFonts w:hint="default" w:ascii="Times New Roman" w:hAnsi="Times New Roman" w:eastAsia="黑体" w:cs="Times New Roman"/>
                <w:i w:val="0"/>
                <w:iCs w:val="0"/>
                <w:color w:val="000000"/>
                <w:sz w:val="18"/>
                <w:szCs w:val="18"/>
                <w:u w:val="none"/>
              </w:rPr>
            </w:pPr>
            <w:r>
              <w:rPr>
                <w:rFonts w:hint="default" w:ascii="Times New Roman" w:hAnsi="Times New Roman" w:eastAsia="黑体" w:cs="Times New Roman"/>
                <w:i w:val="0"/>
                <w:iCs w:val="0"/>
                <w:color w:val="000000"/>
                <w:kern w:val="0"/>
                <w:sz w:val="18"/>
                <w:szCs w:val="18"/>
                <w:u w:val="none"/>
                <w:lang w:val="en-US" w:eastAsia="zh-CN" w:bidi="ar"/>
              </w:rPr>
              <w:t>年度目标完成情况</w:t>
            </w:r>
          </w:p>
        </w:tc>
      </w:tr>
      <w:tr w14:paraId="668ABA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40" w:hRule="atLeast"/>
        </w:trPr>
        <w:tc>
          <w:tcPr>
            <w:tcW w:w="7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EABC791">
            <w:pPr>
              <w:rPr>
                <w:rFonts w:hint="default" w:ascii="Times New Roman" w:hAnsi="Times New Roman" w:eastAsia="宋体" w:cs="Times New Roman"/>
                <w:i w:val="0"/>
                <w:iCs w:val="0"/>
                <w:color w:val="000000"/>
                <w:sz w:val="18"/>
                <w:szCs w:val="18"/>
                <w:u w:val="none"/>
              </w:rPr>
            </w:pPr>
          </w:p>
        </w:tc>
        <w:tc>
          <w:tcPr>
            <w:tcW w:w="7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0FEACE5">
            <w:pPr>
              <w:rPr>
                <w:rFonts w:hint="default" w:ascii="Times New Roman" w:hAnsi="Times New Roman" w:eastAsia="宋体" w:cs="Times New Roman"/>
                <w:i w:val="0"/>
                <w:iCs w:val="0"/>
                <w:color w:val="000000"/>
                <w:sz w:val="18"/>
                <w:szCs w:val="18"/>
                <w:u w:val="none"/>
              </w:rPr>
            </w:pPr>
          </w:p>
        </w:tc>
        <w:tc>
          <w:tcPr>
            <w:tcW w:w="4484"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671A19D">
            <w:pPr>
              <w:keepNext w:val="0"/>
              <w:keepLines w:val="0"/>
              <w:widowControl/>
              <w:suppressLineNumbers w:val="0"/>
              <w:jc w:val="left"/>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确保企业职工基本养老保险、工伤保险省级统筹顺利推进，参保覆盖人数持续增长，待遇水平稳步提高，基金运行总体平稳；强化社会保险基金预决算管理工作，完善社保基金预决算管理办法，做好基金预决算及预算执行情况动态分析，切实构建社会保险基金预决算监督管理的长效机制。</w:t>
            </w:r>
          </w:p>
        </w:tc>
        <w:tc>
          <w:tcPr>
            <w:tcW w:w="3091"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58F787CF">
            <w:pPr>
              <w:keepNext w:val="0"/>
              <w:keepLines w:val="0"/>
              <w:widowControl/>
              <w:suppressLineNumbers w:val="0"/>
              <w:jc w:val="left"/>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确保企业职工基本养老保险、工伤保险省级统筹顺利推进，参保覆盖人数持续增长，待遇水平稳步提高，基金运行总体平稳；强化社会保险基金预决算管理工作，完善社保基金预决算管理办法，做好基金预决算及预算执行情况动态分析，切实构建社会保险基金预决算监督管理的长效机制。</w:t>
            </w:r>
          </w:p>
        </w:tc>
      </w:tr>
      <w:tr w14:paraId="72985E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3" w:hRule="atLeast"/>
        </w:trPr>
        <w:tc>
          <w:tcPr>
            <w:tcW w:w="7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F2F28F3">
            <w:pPr>
              <w:rPr>
                <w:rFonts w:hint="default" w:ascii="Times New Roman" w:hAnsi="Times New Roman" w:eastAsia="宋体" w:cs="Times New Roman"/>
                <w:i w:val="0"/>
                <w:iCs w:val="0"/>
                <w:color w:val="000000"/>
                <w:sz w:val="18"/>
                <w:szCs w:val="18"/>
                <w:u w:val="none"/>
              </w:rPr>
            </w:pPr>
          </w:p>
        </w:tc>
        <w:tc>
          <w:tcPr>
            <w:tcW w:w="7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5D446B">
            <w:pPr>
              <w:keepNext w:val="0"/>
              <w:keepLines w:val="0"/>
              <w:widowControl/>
              <w:suppressLineNumbers w:val="0"/>
              <w:jc w:val="left"/>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2.项目实施内容及过程概述</w:t>
            </w:r>
          </w:p>
        </w:tc>
        <w:tc>
          <w:tcPr>
            <w:tcW w:w="7575"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7A9C4E00">
            <w:pPr>
              <w:keepNext w:val="0"/>
              <w:keepLines w:val="0"/>
              <w:widowControl/>
              <w:suppressLineNumbers w:val="0"/>
              <w:jc w:val="left"/>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大厅顺利实现综合柜员制，切实缩短办事时限，提高办事效率，社保公共服务提质增效。</w:t>
            </w:r>
          </w:p>
        </w:tc>
      </w:tr>
      <w:tr w14:paraId="20AF6A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1" w:hRule="atLeast"/>
        </w:trPr>
        <w:tc>
          <w:tcPr>
            <w:tcW w:w="77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521C65F">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预算执行情况（10分）</w:t>
            </w:r>
          </w:p>
        </w:tc>
        <w:tc>
          <w:tcPr>
            <w:tcW w:w="7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D90478">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年度预算数（万元）</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9D3970">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年初预算</w:t>
            </w:r>
          </w:p>
        </w:tc>
        <w:tc>
          <w:tcPr>
            <w:tcW w:w="13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80D3C5">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调整后预算数</w:t>
            </w:r>
          </w:p>
        </w:tc>
        <w:tc>
          <w:tcPr>
            <w:tcW w:w="231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1FEDB0C">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预算执行数</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8F514F">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预算执行率</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C2D660">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权重</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26F94A">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得分</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A8041B">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原因</w:t>
            </w:r>
          </w:p>
        </w:tc>
      </w:tr>
      <w:tr w14:paraId="5C4ADA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6" w:hRule="atLeast"/>
        </w:trPr>
        <w:tc>
          <w:tcPr>
            <w:tcW w:w="7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7262568">
            <w:pPr>
              <w:jc w:val="center"/>
              <w:rPr>
                <w:rFonts w:hint="default" w:ascii="Times New Roman" w:hAnsi="Times New Roman" w:eastAsia="宋体" w:cs="Times New Roman"/>
                <w:i w:val="0"/>
                <w:iCs w:val="0"/>
                <w:color w:val="000000"/>
                <w:sz w:val="18"/>
                <w:szCs w:val="18"/>
                <w:u w:val="none"/>
              </w:rPr>
            </w:pPr>
          </w:p>
        </w:tc>
        <w:tc>
          <w:tcPr>
            <w:tcW w:w="7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81C040">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总额</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CB2C98">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16.80</w:t>
            </w:r>
          </w:p>
        </w:tc>
        <w:tc>
          <w:tcPr>
            <w:tcW w:w="13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E157B3">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16.80</w:t>
            </w:r>
          </w:p>
        </w:tc>
        <w:tc>
          <w:tcPr>
            <w:tcW w:w="231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7919181">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16.80</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99B495">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100.00%</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87EDF2">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10</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86C0A0">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10</w:t>
            </w:r>
          </w:p>
        </w:tc>
        <w:tc>
          <w:tcPr>
            <w:tcW w:w="7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AD461B7">
            <w:pPr>
              <w:rPr>
                <w:rFonts w:hint="default" w:ascii="Times New Roman" w:hAnsi="Times New Roman" w:eastAsia="黑体" w:cs="Times New Roman"/>
                <w:i/>
                <w:iCs/>
                <w:color w:val="000000"/>
                <w:sz w:val="18"/>
                <w:szCs w:val="18"/>
                <w:u w:val="none"/>
              </w:rPr>
            </w:pPr>
          </w:p>
        </w:tc>
      </w:tr>
      <w:tr w14:paraId="17D867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1" w:hRule="atLeast"/>
        </w:trPr>
        <w:tc>
          <w:tcPr>
            <w:tcW w:w="7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9495C99">
            <w:pPr>
              <w:jc w:val="center"/>
              <w:rPr>
                <w:rFonts w:hint="default" w:ascii="Times New Roman" w:hAnsi="Times New Roman" w:eastAsia="宋体" w:cs="Times New Roman"/>
                <w:i w:val="0"/>
                <w:iCs w:val="0"/>
                <w:color w:val="000000"/>
                <w:sz w:val="18"/>
                <w:szCs w:val="18"/>
                <w:u w:val="none"/>
              </w:rPr>
            </w:pPr>
          </w:p>
        </w:tc>
        <w:tc>
          <w:tcPr>
            <w:tcW w:w="7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321B80">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其中：财政资金</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DC1F47">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16.80</w:t>
            </w:r>
          </w:p>
        </w:tc>
        <w:tc>
          <w:tcPr>
            <w:tcW w:w="13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12A0E4">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16.80</w:t>
            </w:r>
          </w:p>
        </w:tc>
        <w:tc>
          <w:tcPr>
            <w:tcW w:w="231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E3B0832">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16.80</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3AAC0B">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100.00%</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FEBE1A">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651567">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w:t>
            </w:r>
          </w:p>
        </w:tc>
        <w:tc>
          <w:tcPr>
            <w:tcW w:w="7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1760D93">
            <w:pPr>
              <w:rPr>
                <w:rFonts w:hint="default" w:ascii="Times New Roman" w:hAnsi="Times New Roman" w:eastAsia="黑体" w:cs="Times New Roman"/>
                <w:i/>
                <w:iCs/>
                <w:color w:val="000000"/>
                <w:sz w:val="18"/>
                <w:szCs w:val="18"/>
                <w:u w:val="none"/>
              </w:rPr>
            </w:pPr>
          </w:p>
        </w:tc>
      </w:tr>
      <w:tr w14:paraId="36BB9E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7" w:hRule="atLeast"/>
        </w:trPr>
        <w:tc>
          <w:tcPr>
            <w:tcW w:w="7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84C4789">
            <w:pPr>
              <w:jc w:val="center"/>
              <w:rPr>
                <w:rFonts w:hint="default" w:ascii="Times New Roman" w:hAnsi="Times New Roman" w:eastAsia="宋体" w:cs="Times New Roman"/>
                <w:i w:val="0"/>
                <w:iCs w:val="0"/>
                <w:color w:val="000000"/>
                <w:sz w:val="18"/>
                <w:szCs w:val="18"/>
                <w:u w:val="none"/>
              </w:rPr>
            </w:pPr>
          </w:p>
        </w:tc>
        <w:tc>
          <w:tcPr>
            <w:tcW w:w="7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6B0007">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财政专户管理资金</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CB4C61">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0.00</w:t>
            </w:r>
          </w:p>
        </w:tc>
        <w:tc>
          <w:tcPr>
            <w:tcW w:w="13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793A16">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0.00</w:t>
            </w:r>
          </w:p>
        </w:tc>
        <w:tc>
          <w:tcPr>
            <w:tcW w:w="231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5FFCAD4">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0.00</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4E2A30">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0.00%</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AB12F1">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FC2943">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w:t>
            </w:r>
          </w:p>
        </w:tc>
        <w:tc>
          <w:tcPr>
            <w:tcW w:w="7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8F7BC78">
            <w:pPr>
              <w:rPr>
                <w:rFonts w:hint="default" w:ascii="Times New Roman" w:hAnsi="Times New Roman" w:eastAsia="黑体" w:cs="Times New Roman"/>
                <w:i/>
                <w:iCs/>
                <w:color w:val="000000"/>
                <w:sz w:val="18"/>
                <w:szCs w:val="18"/>
                <w:u w:val="none"/>
              </w:rPr>
            </w:pPr>
          </w:p>
        </w:tc>
      </w:tr>
      <w:tr w14:paraId="32CA89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1" w:hRule="atLeast"/>
        </w:trPr>
        <w:tc>
          <w:tcPr>
            <w:tcW w:w="7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2C70C50">
            <w:pPr>
              <w:jc w:val="center"/>
              <w:rPr>
                <w:rFonts w:hint="default" w:ascii="Times New Roman" w:hAnsi="Times New Roman" w:eastAsia="宋体" w:cs="Times New Roman"/>
                <w:i w:val="0"/>
                <w:iCs w:val="0"/>
                <w:color w:val="000000"/>
                <w:sz w:val="18"/>
                <w:szCs w:val="18"/>
                <w:u w:val="none"/>
              </w:rPr>
            </w:pPr>
          </w:p>
        </w:tc>
        <w:tc>
          <w:tcPr>
            <w:tcW w:w="7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1861EF">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单位资金</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CB8B7F">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0.00</w:t>
            </w:r>
          </w:p>
        </w:tc>
        <w:tc>
          <w:tcPr>
            <w:tcW w:w="13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E7FE73">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0.00</w:t>
            </w:r>
          </w:p>
        </w:tc>
        <w:tc>
          <w:tcPr>
            <w:tcW w:w="231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3A0B21D">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0.00</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4E10BD">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0.00%</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941D02">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3C3C99">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w:t>
            </w:r>
          </w:p>
        </w:tc>
        <w:tc>
          <w:tcPr>
            <w:tcW w:w="7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1D3E70C">
            <w:pPr>
              <w:rPr>
                <w:rFonts w:hint="default" w:ascii="Times New Roman" w:hAnsi="Times New Roman" w:eastAsia="黑体" w:cs="Times New Roman"/>
                <w:i/>
                <w:iCs/>
                <w:color w:val="000000"/>
                <w:sz w:val="18"/>
                <w:szCs w:val="18"/>
                <w:u w:val="none"/>
              </w:rPr>
            </w:pPr>
          </w:p>
        </w:tc>
      </w:tr>
      <w:tr w14:paraId="1DEBB8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9" w:hRule="atLeast"/>
        </w:trPr>
        <w:tc>
          <w:tcPr>
            <w:tcW w:w="7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4789C09">
            <w:pPr>
              <w:jc w:val="center"/>
              <w:rPr>
                <w:rFonts w:hint="default" w:ascii="Times New Roman" w:hAnsi="Times New Roman" w:eastAsia="宋体" w:cs="Times New Roman"/>
                <w:i w:val="0"/>
                <w:iCs w:val="0"/>
                <w:color w:val="000000"/>
                <w:sz w:val="18"/>
                <w:szCs w:val="18"/>
                <w:u w:val="none"/>
              </w:rPr>
            </w:pPr>
          </w:p>
        </w:tc>
        <w:tc>
          <w:tcPr>
            <w:tcW w:w="7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0B626E">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其他资金</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419E28">
            <w:pPr>
              <w:jc w:val="center"/>
              <w:rPr>
                <w:rFonts w:hint="default" w:ascii="Times New Roman" w:hAnsi="Times New Roman" w:eastAsia="微软雅黑" w:cs="Times New Roman"/>
                <w:i/>
                <w:iCs/>
                <w:color w:val="000000"/>
                <w:sz w:val="16"/>
                <w:szCs w:val="16"/>
                <w:u w:val="none"/>
              </w:rPr>
            </w:pPr>
          </w:p>
        </w:tc>
        <w:tc>
          <w:tcPr>
            <w:tcW w:w="13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FDFF3C">
            <w:pPr>
              <w:jc w:val="center"/>
              <w:rPr>
                <w:rFonts w:hint="default" w:ascii="Times New Roman" w:hAnsi="Times New Roman" w:eastAsia="微软雅黑" w:cs="Times New Roman"/>
                <w:i/>
                <w:iCs/>
                <w:color w:val="000000"/>
                <w:sz w:val="16"/>
                <w:szCs w:val="16"/>
                <w:u w:val="none"/>
              </w:rPr>
            </w:pPr>
          </w:p>
        </w:tc>
        <w:tc>
          <w:tcPr>
            <w:tcW w:w="231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F95F4D8">
            <w:pPr>
              <w:jc w:val="center"/>
              <w:rPr>
                <w:rFonts w:hint="default" w:ascii="Times New Roman" w:hAnsi="Times New Roman" w:eastAsia="微软雅黑" w:cs="Times New Roman"/>
                <w:i/>
                <w:iCs/>
                <w:color w:val="000000"/>
                <w:sz w:val="16"/>
                <w:szCs w:val="16"/>
                <w:u w:val="none"/>
              </w:rPr>
            </w:pP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1338B6">
            <w:pPr>
              <w:jc w:val="center"/>
              <w:rPr>
                <w:rFonts w:hint="default" w:ascii="Times New Roman" w:hAnsi="Times New Roman" w:eastAsia="微软雅黑" w:cs="Times New Roman"/>
                <w:i/>
                <w:iCs/>
                <w:color w:val="000000"/>
                <w:sz w:val="16"/>
                <w:szCs w:val="16"/>
                <w:u w:val="none"/>
              </w:rPr>
            </w:pP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632EAF">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D928BA">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w:t>
            </w:r>
          </w:p>
        </w:tc>
        <w:tc>
          <w:tcPr>
            <w:tcW w:w="7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50C466E">
            <w:pPr>
              <w:rPr>
                <w:rFonts w:hint="default" w:ascii="Times New Roman" w:hAnsi="Times New Roman" w:eastAsia="黑体" w:cs="Times New Roman"/>
                <w:i/>
                <w:iCs/>
                <w:color w:val="000000"/>
                <w:sz w:val="18"/>
                <w:szCs w:val="18"/>
                <w:u w:val="none"/>
              </w:rPr>
            </w:pPr>
          </w:p>
        </w:tc>
      </w:tr>
      <w:tr w14:paraId="2C6B1E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2" w:hRule="atLeast"/>
        </w:trPr>
        <w:tc>
          <w:tcPr>
            <w:tcW w:w="77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750CC60">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绩效指标（90分）</w:t>
            </w:r>
          </w:p>
        </w:tc>
        <w:tc>
          <w:tcPr>
            <w:tcW w:w="7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358197">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一级指标</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58C618">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二级指标</w:t>
            </w:r>
          </w:p>
        </w:tc>
        <w:tc>
          <w:tcPr>
            <w:tcW w:w="13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4A18DE">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三级指标</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83B671">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指标性质</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287E07">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指标值</w:t>
            </w:r>
          </w:p>
        </w:tc>
        <w:tc>
          <w:tcPr>
            <w:tcW w:w="7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696DFC">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度量单位</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DEB3B5">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完成值</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F50C27">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权重</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C4E61E">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得分</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C97897">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未完成原因分析</w:t>
            </w:r>
          </w:p>
        </w:tc>
      </w:tr>
      <w:tr w14:paraId="3B9CF5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CB4921B">
            <w:pPr>
              <w:jc w:val="center"/>
              <w:rPr>
                <w:rFonts w:hint="default" w:ascii="Times New Roman" w:hAnsi="Times New Roman" w:eastAsia="宋体" w:cs="Times New Roman"/>
                <w:i w:val="0"/>
                <w:iCs w:val="0"/>
                <w:color w:val="000000"/>
                <w:sz w:val="18"/>
                <w:szCs w:val="18"/>
                <w:u w:val="none"/>
              </w:rPr>
            </w:pPr>
          </w:p>
        </w:tc>
        <w:tc>
          <w:tcPr>
            <w:tcW w:w="77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53D520C">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产出指标</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12CB9A">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质量指标</w:t>
            </w:r>
          </w:p>
        </w:tc>
        <w:tc>
          <w:tcPr>
            <w:tcW w:w="13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4DF5CE">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养老金领取资格认证率</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50C2E9">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2074C3">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100</w:t>
            </w:r>
          </w:p>
        </w:tc>
        <w:tc>
          <w:tcPr>
            <w:tcW w:w="7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A2E4D4">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1B8B0C">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100%</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8D35C1">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20</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614587">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20</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463F69">
            <w:pPr>
              <w:jc w:val="center"/>
              <w:rPr>
                <w:rFonts w:hint="default" w:ascii="Times New Roman" w:hAnsi="Times New Roman" w:eastAsia="微软雅黑" w:cs="Times New Roman"/>
                <w:i/>
                <w:iCs/>
                <w:color w:val="000000"/>
                <w:sz w:val="16"/>
                <w:szCs w:val="16"/>
                <w:u w:val="none"/>
              </w:rPr>
            </w:pPr>
          </w:p>
        </w:tc>
      </w:tr>
      <w:tr w14:paraId="13DB85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D8D74F6">
            <w:pPr>
              <w:jc w:val="center"/>
              <w:rPr>
                <w:rFonts w:hint="default" w:ascii="Times New Roman" w:hAnsi="Times New Roman" w:eastAsia="宋体" w:cs="Times New Roman"/>
                <w:i w:val="0"/>
                <w:iCs w:val="0"/>
                <w:color w:val="000000"/>
                <w:sz w:val="18"/>
                <w:szCs w:val="18"/>
                <w:u w:val="none"/>
              </w:rPr>
            </w:pPr>
          </w:p>
        </w:tc>
        <w:tc>
          <w:tcPr>
            <w:tcW w:w="7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91BF0C4">
            <w:pPr>
              <w:jc w:val="center"/>
              <w:rPr>
                <w:rFonts w:hint="default" w:ascii="Times New Roman" w:hAnsi="Times New Roman" w:eastAsia="宋体" w:cs="Times New Roman"/>
                <w:i w:val="0"/>
                <w:iCs w:val="0"/>
                <w:color w:val="000000"/>
                <w:sz w:val="18"/>
                <w:szCs w:val="18"/>
                <w:u w:val="none"/>
              </w:rPr>
            </w:pPr>
          </w:p>
        </w:tc>
        <w:tc>
          <w:tcPr>
            <w:tcW w:w="77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F4B736E">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时效指标</w:t>
            </w:r>
          </w:p>
        </w:tc>
        <w:tc>
          <w:tcPr>
            <w:tcW w:w="13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B0BF95">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资金在规定时间下达率</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F71A2B">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97DCC1">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100</w:t>
            </w:r>
          </w:p>
        </w:tc>
        <w:tc>
          <w:tcPr>
            <w:tcW w:w="7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04BB28">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D37976">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100%</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0DAF03">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10</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7FEBAD">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10</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E5B4AC">
            <w:pPr>
              <w:jc w:val="center"/>
              <w:rPr>
                <w:rFonts w:hint="default" w:ascii="Times New Roman" w:hAnsi="Times New Roman" w:eastAsia="微软雅黑" w:cs="Times New Roman"/>
                <w:i/>
                <w:iCs/>
                <w:color w:val="000000"/>
                <w:sz w:val="16"/>
                <w:szCs w:val="16"/>
                <w:u w:val="none"/>
              </w:rPr>
            </w:pPr>
          </w:p>
        </w:tc>
      </w:tr>
      <w:tr w14:paraId="5340F8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7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C156544">
            <w:pPr>
              <w:jc w:val="center"/>
              <w:rPr>
                <w:rFonts w:hint="default" w:ascii="Times New Roman" w:hAnsi="Times New Roman" w:eastAsia="宋体" w:cs="Times New Roman"/>
                <w:i w:val="0"/>
                <w:iCs w:val="0"/>
                <w:color w:val="000000"/>
                <w:sz w:val="18"/>
                <w:szCs w:val="18"/>
                <w:u w:val="none"/>
              </w:rPr>
            </w:pPr>
          </w:p>
        </w:tc>
        <w:tc>
          <w:tcPr>
            <w:tcW w:w="7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1CA4DD6">
            <w:pPr>
              <w:jc w:val="center"/>
              <w:rPr>
                <w:rFonts w:hint="default" w:ascii="Times New Roman" w:hAnsi="Times New Roman" w:eastAsia="宋体" w:cs="Times New Roman"/>
                <w:i w:val="0"/>
                <w:iCs w:val="0"/>
                <w:color w:val="000000"/>
                <w:sz w:val="18"/>
                <w:szCs w:val="18"/>
                <w:u w:val="none"/>
              </w:rPr>
            </w:pPr>
          </w:p>
        </w:tc>
        <w:tc>
          <w:tcPr>
            <w:tcW w:w="7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E361488">
            <w:pPr>
              <w:jc w:val="center"/>
              <w:rPr>
                <w:rFonts w:hint="default" w:ascii="Times New Roman" w:hAnsi="Times New Roman" w:eastAsia="宋体" w:cs="Times New Roman"/>
                <w:i w:val="0"/>
                <w:iCs w:val="0"/>
                <w:color w:val="000000"/>
                <w:sz w:val="18"/>
                <w:szCs w:val="18"/>
                <w:u w:val="none"/>
              </w:rPr>
            </w:pPr>
          </w:p>
        </w:tc>
        <w:tc>
          <w:tcPr>
            <w:tcW w:w="13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92CF43">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企业职工基本养老保险待遇按时足额发放</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4971E3">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BC9FCF">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100</w:t>
            </w:r>
          </w:p>
        </w:tc>
        <w:tc>
          <w:tcPr>
            <w:tcW w:w="7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877EC7">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D9E99D">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100%</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BC4454">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10</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BAA518">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10</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3FBAF0">
            <w:pPr>
              <w:jc w:val="center"/>
              <w:rPr>
                <w:rFonts w:hint="default" w:ascii="Times New Roman" w:hAnsi="Times New Roman" w:eastAsia="微软雅黑" w:cs="Times New Roman"/>
                <w:i/>
                <w:iCs/>
                <w:color w:val="000000"/>
                <w:sz w:val="16"/>
                <w:szCs w:val="16"/>
                <w:u w:val="none"/>
              </w:rPr>
            </w:pPr>
          </w:p>
        </w:tc>
      </w:tr>
      <w:tr w14:paraId="0C20C8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A176BC1">
            <w:pPr>
              <w:jc w:val="center"/>
              <w:rPr>
                <w:rFonts w:hint="default" w:ascii="Times New Roman" w:hAnsi="Times New Roman" w:eastAsia="宋体" w:cs="Times New Roman"/>
                <w:i w:val="0"/>
                <w:iCs w:val="0"/>
                <w:color w:val="000000"/>
                <w:sz w:val="18"/>
                <w:szCs w:val="18"/>
                <w:u w:val="none"/>
              </w:rPr>
            </w:pPr>
          </w:p>
        </w:tc>
        <w:tc>
          <w:tcPr>
            <w:tcW w:w="7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DD85B0">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效益指标</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EA40F4">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社会效益指标</w:t>
            </w:r>
          </w:p>
        </w:tc>
        <w:tc>
          <w:tcPr>
            <w:tcW w:w="13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E8E8F7">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群众获得感、幸福感</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BE79C8">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定性</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AAB40F">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高中低</w:t>
            </w:r>
          </w:p>
        </w:tc>
        <w:tc>
          <w:tcPr>
            <w:tcW w:w="7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FF3BDA">
            <w:pPr>
              <w:jc w:val="center"/>
              <w:rPr>
                <w:rFonts w:hint="default" w:ascii="Times New Roman" w:hAnsi="Times New Roman" w:eastAsia="宋体" w:cs="Times New Roman"/>
                <w:i w:val="0"/>
                <w:iCs w:val="0"/>
                <w:color w:val="000000"/>
                <w:sz w:val="18"/>
                <w:szCs w:val="18"/>
                <w:u w:val="none"/>
              </w:rPr>
            </w:pP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257002">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高</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E848C5">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20</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E43924">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20</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E3B348">
            <w:pPr>
              <w:jc w:val="center"/>
              <w:rPr>
                <w:rFonts w:hint="default" w:ascii="Times New Roman" w:hAnsi="Times New Roman" w:eastAsia="微软雅黑" w:cs="Times New Roman"/>
                <w:i/>
                <w:iCs/>
                <w:color w:val="000000"/>
                <w:sz w:val="16"/>
                <w:szCs w:val="16"/>
                <w:u w:val="none"/>
              </w:rPr>
            </w:pPr>
          </w:p>
        </w:tc>
      </w:tr>
      <w:tr w14:paraId="7A976A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F6748B3">
            <w:pPr>
              <w:jc w:val="center"/>
              <w:rPr>
                <w:rFonts w:hint="default" w:ascii="Times New Roman" w:hAnsi="Times New Roman" w:eastAsia="宋体" w:cs="Times New Roman"/>
                <w:i w:val="0"/>
                <w:iCs w:val="0"/>
                <w:color w:val="000000"/>
                <w:sz w:val="18"/>
                <w:szCs w:val="18"/>
                <w:u w:val="none"/>
              </w:rPr>
            </w:pPr>
          </w:p>
        </w:tc>
        <w:tc>
          <w:tcPr>
            <w:tcW w:w="7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CACC2A">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满意度指标</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B0A5C5">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服务对象满意度指标</w:t>
            </w:r>
          </w:p>
        </w:tc>
        <w:tc>
          <w:tcPr>
            <w:tcW w:w="13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03B418">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参保人员满意度</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719568">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1CAC17">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90</w:t>
            </w:r>
          </w:p>
        </w:tc>
        <w:tc>
          <w:tcPr>
            <w:tcW w:w="7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140C51">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285FB8">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90%</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DEF542">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10</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F6F75B">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10</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458C09">
            <w:pPr>
              <w:jc w:val="center"/>
              <w:rPr>
                <w:rFonts w:hint="default" w:ascii="Times New Roman" w:hAnsi="Times New Roman" w:eastAsia="微软雅黑" w:cs="Times New Roman"/>
                <w:i/>
                <w:iCs/>
                <w:color w:val="000000"/>
                <w:sz w:val="16"/>
                <w:szCs w:val="16"/>
                <w:u w:val="none"/>
              </w:rPr>
            </w:pPr>
          </w:p>
        </w:tc>
      </w:tr>
      <w:tr w14:paraId="0108D0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561657F">
            <w:pPr>
              <w:jc w:val="center"/>
              <w:rPr>
                <w:rFonts w:hint="default" w:ascii="Times New Roman" w:hAnsi="Times New Roman" w:eastAsia="宋体" w:cs="Times New Roman"/>
                <w:i w:val="0"/>
                <w:iCs w:val="0"/>
                <w:color w:val="000000"/>
                <w:sz w:val="18"/>
                <w:szCs w:val="18"/>
                <w:u w:val="none"/>
              </w:rPr>
            </w:pPr>
          </w:p>
        </w:tc>
        <w:tc>
          <w:tcPr>
            <w:tcW w:w="7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641B36">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成本指标</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38022A">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经济成本指标</w:t>
            </w:r>
          </w:p>
        </w:tc>
        <w:tc>
          <w:tcPr>
            <w:tcW w:w="13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E73687">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下达资金</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F85183">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定性</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D759BB">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全额</w:t>
            </w:r>
          </w:p>
        </w:tc>
        <w:tc>
          <w:tcPr>
            <w:tcW w:w="7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92DB85">
            <w:pPr>
              <w:jc w:val="center"/>
              <w:rPr>
                <w:rFonts w:hint="default" w:ascii="Times New Roman" w:hAnsi="Times New Roman" w:eastAsia="宋体" w:cs="Times New Roman"/>
                <w:i w:val="0"/>
                <w:iCs w:val="0"/>
                <w:color w:val="000000"/>
                <w:sz w:val="18"/>
                <w:szCs w:val="18"/>
                <w:u w:val="none"/>
              </w:rPr>
            </w:pP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130E5D">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全额</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E93CA3">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20</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7C85E3">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20</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27CA13">
            <w:pPr>
              <w:jc w:val="center"/>
              <w:rPr>
                <w:rFonts w:hint="default" w:ascii="Times New Roman" w:hAnsi="Times New Roman" w:eastAsia="微软雅黑" w:cs="Times New Roman"/>
                <w:i/>
                <w:iCs/>
                <w:color w:val="000000"/>
                <w:sz w:val="16"/>
                <w:szCs w:val="16"/>
                <w:u w:val="none"/>
              </w:rPr>
            </w:pPr>
          </w:p>
        </w:tc>
      </w:tr>
      <w:tr w14:paraId="5A62F7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801"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765CC105">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合计</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51236B">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100</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7572F4">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100</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091C6D">
            <w:pPr>
              <w:rPr>
                <w:rFonts w:hint="default" w:ascii="Times New Roman" w:hAnsi="Times New Roman" w:eastAsia="宋体" w:cs="Times New Roman"/>
                <w:i w:val="0"/>
                <w:iCs w:val="0"/>
                <w:color w:val="000000"/>
                <w:sz w:val="18"/>
                <w:szCs w:val="18"/>
                <w:u w:val="none"/>
              </w:rPr>
            </w:pPr>
          </w:p>
        </w:tc>
      </w:tr>
      <w:tr w14:paraId="41510F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3" w:hRule="atLeast"/>
        </w:trPr>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9ED5EB">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评价结论</w:t>
            </w:r>
          </w:p>
        </w:tc>
        <w:tc>
          <w:tcPr>
            <w:tcW w:w="8348"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3F06B51F">
            <w:pPr>
              <w:keepNext w:val="0"/>
              <w:keepLines w:val="0"/>
              <w:widowControl/>
              <w:suppressLineNumbers w:val="0"/>
              <w:jc w:val="left"/>
              <w:textAlignment w:val="center"/>
              <w:rPr>
                <w:rFonts w:hint="default" w:ascii="Times New Roman" w:hAnsi="Times New Roman" w:eastAsia="微软雅黑" w:cs="Times New Roman"/>
                <w:i w:val="0"/>
                <w:iCs w:val="0"/>
                <w:color w:val="000000"/>
                <w:sz w:val="16"/>
                <w:szCs w:val="16"/>
                <w:u w:val="none"/>
              </w:rPr>
            </w:pPr>
            <w:r>
              <w:rPr>
                <w:rFonts w:hint="default" w:ascii="Times New Roman" w:hAnsi="Times New Roman" w:eastAsia="微软雅黑" w:cs="Times New Roman"/>
                <w:i w:val="0"/>
                <w:iCs w:val="0"/>
                <w:color w:val="000000"/>
                <w:kern w:val="0"/>
                <w:sz w:val="16"/>
                <w:szCs w:val="16"/>
                <w:u w:val="none"/>
                <w:lang w:val="en-US" w:eastAsia="zh-CN" w:bidi="ar"/>
              </w:rPr>
              <w:t>项目自评总分100分，提升社保工作人员经办能力和水平，确保企业职工基本养老保险工作顺利推进，大厅顺利实现综合柜员制，社保公共服务提质增效。2024年完成支付入16.8万元，预算执行率100%。</w:t>
            </w:r>
          </w:p>
        </w:tc>
      </w:tr>
      <w:tr w14:paraId="5CDBF7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2" w:hRule="atLeast"/>
        </w:trPr>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981678">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存在问题</w:t>
            </w:r>
          </w:p>
        </w:tc>
        <w:tc>
          <w:tcPr>
            <w:tcW w:w="8348"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1DF6EC45">
            <w:pPr>
              <w:keepNext w:val="0"/>
              <w:keepLines w:val="0"/>
              <w:widowControl/>
              <w:suppressLineNumbers w:val="0"/>
              <w:jc w:val="left"/>
              <w:textAlignment w:val="center"/>
              <w:rPr>
                <w:rFonts w:hint="default" w:ascii="Times New Roman" w:hAnsi="Times New Roman" w:eastAsia="微软雅黑" w:cs="Times New Roman"/>
                <w:i w:val="0"/>
                <w:iCs w:val="0"/>
                <w:color w:val="000000"/>
                <w:sz w:val="16"/>
                <w:szCs w:val="16"/>
                <w:u w:val="none"/>
              </w:rPr>
            </w:pPr>
            <w:r>
              <w:rPr>
                <w:rFonts w:hint="default" w:ascii="Times New Roman" w:hAnsi="Times New Roman" w:eastAsia="微软雅黑" w:cs="Times New Roman"/>
                <w:i w:val="0"/>
                <w:iCs w:val="0"/>
                <w:color w:val="000000"/>
                <w:kern w:val="0"/>
                <w:sz w:val="16"/>
                <w:szCs w:val="16"/>
                <w:u w:val="none"/>
                <w:lang w:val="en-US" w:eastAsia="zh-CN" w:bidi="ar"/>
              </w:rPr>
              <w:t>无</w:t>
            </w:r>
          </w:p>
        </w:tc>
      </w:tr>
      <w:tr w14:paraId="6848FB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3" w:hRule="atLeast"/>
        </w:trPr>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8A5C6F">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改进措施</w:t>
            </w:r>
          </w:p>
        </w:tc>
        <w:tc>
          <w:tcPr>
            <w:tcW w:w="8348"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2D6CA9C7">
            <w:pPr>
              <w:keepNext w:val="0"/>
              <w:keepLines w:val="0"/>
              <w:widowControl/>
              <w:suppressLineNumbers w:val="0"/>
              <w:jc w:val="left"/>
              <w:textAlignment w:val="center"/>
              <w:rPr>
                <w:rFonts w:hint="default" w:ascii="Times New Roman" w:hAnsi="Times New Roman" w:eastAsia="微软雅黑" w:cs="Times New Roman"/>
                <w:i w:val="0"/>
                <w:iCs w:val="0"/>
                <w:color w:val="000000"/>
                <w:sz w:val="16"/>
                <w:szCs w:val="16"/>
                <w:u w:val="none"/>
              </w:rPr>
            </w:pPr>
            <w:r>
              <w:rPr>
                <w:rFonts w:hint="default" w:ascii="Times New Roman" w:hAnsi="Times New Roman" w:eastAsia="微软雅黑" w:cs="Times New Roman"/>
                <w:i w:val="0"/>
                <w:iCs w:val="0"/>
                <w:color w:val="000000"/>
                <w:kern w:val="0"/>
                <w:sz w:val="16"/>
                <w:szCs w:val="16"/>
                <w:u w:val="none"/>
                <w:lang w:val="en-US" w:eastAsia="zh-CN" w:bidi="ar"/>
              </w:rPr>
              <w:t>无</w:t>
            </w:r>
          </w:p>
        </w:tc>
      </w:tr>
      <w:tr w14:paraId="273C43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4483"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D06CAF8">
            <w:pPr>
              <w:keepNext w:val="0"/>
              <w:keepLines w:val="0"/>
              <w:widowControl/>
              <w:suppressLineNumbers w:val="0"/>
              <w:jc w:val="left"/>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项目负责人：高礼银</w:t>
            </w:r>
          </w:p>
        </w:tc>
        <w:tc>
          <w:tcPr>
            <w:tcW w:w="4637"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7B6AF40A">
            <w:pPr>
              <w:keepNext w:val="0"/>
              <w:keepLines w:val="0"/>
              <w:widowControl/>
              <w:suppressLineNumbers w:val="0"/>
              <w:jc w:val="left"/>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财务负责人：毛嵩</w:t>
            </w:r>
          </w:p>
        </w:tc>
      </w:tr>
    </w:tbl>
    <w:p w14:paraId="4163CEA0">
      <w:pPr>
        <w:rPr>
          <w:rFonts w:hint="default" w:ascii="Times New Roman" w:hAnsi="Times New Roman" w:eastAsia="黑体" w:cs="Times New Roman"/>
          <w:color w:val="auto"/>
          <w:kern w:val="0"/>
          <w:sz w:val="32"/>
          <w:szCs w:val="32"/>
          <w:highlight w:val="none"/>
          <w:shd w:val="clear" w:color="auto" w:fill="FFFFFF"/>
          <w:lang w:val="zh-CN"/>
        </w:rPr>
      </w:pPr>
    </w:p>
    <w:tbl>
      <w:tblPr>
        <w:tblStyle w:val="18"/>
        <w:tblW w:w="910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79"/>
        <w:gridCol w:w="1177"/>
        <w:gridCol w:w="1031"/>
        <w:gridCol w:w="1286"/>
        <w:gridCol w:w="398"/>
        <w:gridCol w:w="982"/>
        <w:gridCol w:w="401"/>
        <w:gridCol w:w="861"/>
        <w:gridCol w:w="489"/>
        <w:gridCol w:w="489"/>
        <w:gridCol w:w="1407"/>
      </w:tblGrid>
      <w:tr w14:paraId="3AF47AB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41" w:hRule="atLeast"/>
        </w:trPr>
        <w:tc>
          <w:tcPr>
            <w:tcW w:w="9100"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14:paraId="76084DBF">
            <w:pPr>
              <w:keepNext w:val="0"/>
              <w:keepLines w:val="0"/>
              <w:widowControl/>
              <w:suppressLineNumbers w:val="0"/>
              <w:jc w:val="center"/>
              <w:textAlignment w:val="center"/>
              <w:rPr>
                <w:rFonts w:hint="default" w:ascii="Times New Roman" w:hAnsi="Times New Roman" w:eastAsia="黑体" w:cs="Times New Roman"/>
                <w:b/>
                <w:bCs/>
                <w:i w:val="0"/>
                <w:iCs w:val="0"/>
                <w:color w:val="000000"/>
                <w:sz w:val="30"/>
                <w:szCs w:val="30"/>
                <w:u w:val="none"/>
              </w:rPr>
            </w:pPr>
            <w:r>
              <w:rPr>
                <w:rFonts w:hint="default" w:ascii="Times New Roman" w:hAnsi="Times New Roman" w:eastAsia="黑体" w:cs="Times New Roman"/>
                <w:b/>
                <w:bCs/>
                <w:i w:val="0"/>
                <w:iCs w:val="0"/>
                <w:color w:val="000000"/>
                <w:kern w:val="0"/>
                <w:sz w:val="30"/>
                <w:szCs w:val="30"/>
                <w:u w:val="none"/>
                <w:lang w:val="en-US" w:eastAsia="zh-CN" w:bidi="ar"/>
              </w:rPr>
              <w:t>部门预算项目支出绩效自评表（2024年度）</w:t>
            </w:r>
          </w:p>
        </w:tc>
      </w:tr>
      <w:tr w14:paraId="011BEF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7" w:hRule="atLeast"/>
        </w:trPr>
        <w:tc>
          <w:tcPr>
            <w:tcW w:w="175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61676DE">
            <w:pPr>
              <w:keepNext w:val="0"/>
              <w:keepLines w:val="0"/>
              <w:widowControl/>
              <w:suppressLineNumbers w:val="0"/>
              <w:jc w:val="left"/>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项目名称</w:t>
            </w:r>
          </w:p>
        </w:tc>
        <w:tc>
          <w:tcPr>
            <w:tcW w:w="7342"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36176ECC">
            <w:pPr>
              <w:keepNext w:val="0"/>
              <w:keepLines w:val="0"/>
              <w:widowControl/>
              <w:suppressLineNumbers w:val="0"/>
              <w:jc w:val="left"/>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51040022T000007251342-省管森工社会化管理工作经费</w:t>
            </w:r>
          </w:p>
        </w:tc>
      </w:tr>
      <w:tr w14:paraId="4458C1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0" w:hRule="atLeast"/>
        </w:trPr>
        <w:tc>
          <w:tcPr>
            <w:tcW w:w="175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4CCE48F">
            <w:pPr>
              <w:keepNext w:val="0"/>
              <w:keepLines w:val="0"/>
              <w:widowControl/>
              <w:suppressLineNumbers w:val="0"/>
              <w:jc w:val="left"/>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主管部门</w:t>
            </w:r>
          </w:p>
        </w:tc>
        <w:tc>
          <w:tcPr>
            <w:tcW w:w="4103"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AEC4D8C">
            <w:pPr>
              <w:keepNext w:val="0"/>
              <w:keepLines w:val="0"/>
              <w:widowControl/>
              <w:suppressLineNumbers w:val="0"/>
              <w:jc w:val="left"/>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攀枝花市社会保险事务中心</w:t>
            </w:r>
          </w:p>
        </w:tc>
        <w:tc>
          <w:tcPr>
            <w:tcW w:w="851" w:type="dxa"/>
            <w:tcBorders>
              <w:top w:val="nil"/>
              <w:left w:val="nil"/>
              <w:bottom w:val="nil"/>
              <w:right w:val="nil"/>
            </w:tcBorders>
            <w:shd w:val="clear" w:color="auto" w:fill="auto"/>
            <w:vAlign w:val="center"/>
          </w:tcPr>
          <w:p w14:paraId="4DA30521">
            <w:pPr>
              <w:keepNext w:val="0"/>
              <w:keepLines w:val="0"/>
              <w:widowControl/>
              <w:suppressLineNumbers w:val="0"/>
              <w:jc w:val="left"/>
              <w:textAlignment w:val="center"/>
              <w:rPr>
                <w:rFonts w:hint="default" w:ascii="Times New Roman" w:hAnsi="Times New Roman" w:eastAsia="黑体" w:cs="Times New Roman"/>
                <w:i w:val="0"/>
                <w:iCs w:val="0"/>
                <w:color w:val="000000"/>
                <w:sz w:val="18"/>
                <w:szCs w:val="18"/>
                <w:u w:val="none"/>
              </w:rPr>
            </w:pPr>
            <w:r>
              <w:rPr>
                <w:rFonts w:hint="default" w:ascii="Times New Roman" w:hAnsi="Times New Roman" w:eastAsia="黑体" w:cs="Times New Roman"/>
                <w:i w:val="0"/>
                <w:iCs w:val="0"/>
                <w:color w:val="000000"/>
                <w:kern w:val="0"/>
                <w:sz w:val="18"/>
                <w:szCs w:val="18"/>
                <w:u w:val="none"/>
                <w:lang w:val="en-US" w:eastAsia="zh-CN" w:bidi="ar"/>
              </w:rPr>
              <w:t>实施单位 （盖章）</w:t>
            </w:r>
          </w:p>
        </w:tc>
        <w:tc>
          <w:tcPr>
            <w:tcW w:w="238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7CE9FAC">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攀枝花市社会保险事务中心</w:t>
            </w:r>
          </w:p>
        </w:tc>
      </w:tr>
      <w:tr w14:paraId="26CDCB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7" w:hRule="atLeast"/>
        </w:trPr>
        <w:tc>
          <w:tcPr>
            <w:tcW w:w="57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74B8AA1">
            <w:pPr>
              <w:keepNext w:val="0"/>
              <w:keepLines w:val="0"/>
              <w:widowControl/>
              <w:suppressLineNumbers w:val="0"/>
              <w:jc w:val="left"/>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项目基本情况</w:t>
            </w:r>
          </w:p>
        </w:tc>
        <w:tc>
          <w:tcPr>
            <w:tcW w:w="117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360C09C">
            <w:pPr>
              <w:keepNext w:val="0"/>
              <w:keepLines w:val="0"/>
              <w:widowControl/>
              <w:suppressLineNumbers w:val="0"/>
              <w:jc w:val="left"/>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1.项目年度目标完成情况</w:t>
            </w:r>
          </w:p>
        </w:tc>
        <w:tc>
          <w:tcPr>
            <w:tcW w:w="4103"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9E39CF7">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项目年度目标</w:t>
            </w:r>
          </w:p>
        </w:tc>
        <w:tc>
          <w:tcPr>
            <w:tcW w:w="3239"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C5EB11D">
            <w:pPr>
              <w:keepNext w:val="0"/>
              <w:keepLines w:val="0"/>
              <w:widowControl/>
              <w:suppressLineNumbers w:val="0"/>
              <w:jc w:val="center"/>
              <w:textAlignment w:val="center"/>
              <w:rPr>
                <w:rFonts w:hint="default" w:ascii="Times New Roman" w:hAnsi="Times New Roman" w:eastAsia="黑体" w:cs="Times New Roman"/>
                <w:i w:val="0"/>
                <w:iCs w:val="0"/>
                <w:color w:val="000000"/>
                <w:sz w:val="18"/>
                <w:szCs w:val="18"/>
                <w:u w:val="none"/>
              </w:rPr>
            </w:pPr>
            <w:r>
              <w:rPr>
                <w:rFonts w:hint="default" w:ascii="Times New Roman" w:hAnsi="Times New Roman" w:eastAsia="黑体" w:cs="Times New Roman"/>
                <w:i w:val="0"/>
                <w:iCs w:val="0"/>
                <w:color w:val="000000"/>
                <w:kern w:val="0"/>
                <w:sz w:val="18"/>
                <w:szCs w:val="18"/>
                <w:u w:val="none"/>
                <w:lang w:val="en-US" w:eastAsia="zh-CN" w:bidi="ar"/>
              </w:rPr>
              <w:t>年度目标完成情况</w:t>
            </w:r>
          </w:p>
        </w:tc>
      </w:tr>
      <w:tr w14:paraId="475D6E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98" w:hRule="atLeast"/>
        </w:trPr>
        <w:tc>
          <w:tcPr>
            <w:tcW w:w="5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40AD349">
            <w:pPr>
              <w:rPr>
                <w:rFonts w:hint="default" w:ascii="Times New Roman" w:hAnsi="Times New Roman" w:eastAsia="宋体" w:cs="Times New Roman"/>
                <w:i w:val="0"/>
                <w:iCs w:val="0"/>
                <w:color w:val="000000"/>
                <w:sz w:val="18"/>
                <w:szCs w:val="18"/>
                <w:u w:val="none"/>
              </w:rPr>
            </w:pPr>
          </w:p>
        </w:tc>
        <w:tc>
          <w:tcPr>
            <w:tcW w:w="11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43B34CC">
            <w:pPr>
              <w:rPr>
                <w:rFonts w:hint="default" w:ascii="Times New Roman" w:hAnsi="Times New Roman" w:eastAsia="宋体" w:cs="Times New Roman"/>
                <w:i w:val="0"/>
                <w:iCs w:val="0"/>
                <w:color w:val="000000"/>
                <w:sz w:val="18"/>
                <w:szCs w:val="18"/>
                <w:u w:val="none"/>
              </w:rPr>
            </w:pPr>
          </w:p>
        </w:tc>
        <w:tc>
          <w:tcPr>
            <w:tcW w:w="4103"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7CFBAF8">
            <w:pPr>
              <w:keepNext w:val="0"/>
              <w:keepLines w:val="0"/>
              <w:widowControl/>
              <w:suppressLineNumbers w:val="0"/>
              <w:jc w:val="left"/>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做好省管森工退休人员社会化管理工作</w:t>
            </w:r>
          </w:p>
        </w:tc>
        <w:tc>
          <w:tcPr>
            <w:tcW w:w="3239"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B30F107">
            <w:pPr>
              <w:keepNext w:val="0"/>
              <w:keepLines w:val="0"/>
              <w:widowControl/>
              <w:suppressLineNumbers w:val="0"/>
              <w:jc w:val="left"/>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确保社保经办机构代管的省管森工企业离退休人员基本养老金按时足额发放，提升省管森工企业离退休人员社会化管理服务水平。</w:t>
            </w:r>
          </w:p>
        </w:tc>
      </w:tr>
      <w:tr w14:paraId="34F983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0" w:hRule="atLeast"/>
        </w:trPr>
        <w:tc>
          <w:tcPr>
            <w:tcW w:w="5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F682C9E">
            <w:pPr>
              <w:rPr>
                <w:rFonts w:hint="default" w:ascii="Times New Roman" w:hAnsi="Times New Roman" w:eastAsia="宋体" w:cs="Times New Roman"/>
                <w:i w:val="0"/>
                <w:iCs w:val="0"/>
                <w:color w:val="000000"/>
                <w:sz w:val="18"/>
                <w:szCs w:val="18"/>
                <w:u w:val="none"/>
              </w:rPr>
            </w:pPr>
          </w:p>
        </w:tc>
        <w:tc>
          <w:tcPr>
            <w:tcW w:w="11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0A1F99">
            <w:pPr>
              <w:keepNext w:val="0"/>
              <w:keepLines w:val="0"/>
              <w:widowControl/>
              <w:suppressLineNumbers w:val="0"/>
              <w:jc w:val="left"/>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2.项目实施内容及过程概述</w:t>
            </w:r>
          </w:p>
        </w:tc>
        <w:tc>
          <w:tcPr>
            <w:tcW w:w="7342"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3F57A1DD">
            <w:pPr>
              <w:keepNext w:val="0"/>
              <w:keepLines w:val="0"/>
              <w:widowControl/>
              <w:suppressLineNumbers w:val="0"/>
              <w:jc w:val="left"/>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按月为省管森工企业离退休人员发放养老金，做好社会化管理服务工作。</w:t>
            </w:r>
          </w:p>
        </w:tc>
      </w:tr>
      <w:tr w14:paraId="59A720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5" w:hRule="atLeast"/>
        </w:trPr>
        <w:tc>
          <w:tcPr>
            <w:tcW w:w="57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60AB736">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预算执行情况（10分）</w:t>
            </w:r>
          </w:p>
        </w:tc>
        <w:tc>
          <w:tcPr>
            <w:tcW w:w="11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BEDB24">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年度预算数（万元）</w:t>
            </w:r>
          </w:p>
        </w:tc>
        <w:tc>
          <w:tcPr>
            <w:tcW w:w="10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BE5FF2">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年初预算</w:t>
            </w:r>
          </w:p>
        </w:tc>
        <w:tc>
          <w:tcPr>
            <w:tcW w:w="12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8056F1">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调整后预算数</w:t>
            </w:r>
          </w:p>
        </w:tc>
        <w:tc>
          <w:tcPr>
            <w:tcW w:w="178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96811CB">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预算执行数</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A70BC8">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预算执行率</w:t>
            </w:r>
          </w:p>
        </w:tc>
        <w:tc>
          <w:tcPr>
            <w:tcW w:w="4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CC334C">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权重</w:t>
            </w:r>
          </w:p>
        </w:tc>
        <w:tc>
          <w:tcPr>
            <w:tcW w:w="4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EA587A">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得分</w:t>
            </w: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7E8A5D">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原因</w:t>
            </w:r>
          </w:p>
        </w:tc>
      </w:tr>
      <w:tr w14:paraId="5E3280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2" w:hRule="atLeast"/>
        </w:trPr>
        <w:tc>
          <w:tcPr>
            <w:tcW w:w="5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EB8D007">
            <w:pPr>
              <w:jc w:val="center"/>
              <w:rPr>
                <w:rFonts w:hint="default" w:ascii="Times New Roman" w:hAnsi="Times New Roman" w:eastAsia="宋体" w:cs="Times New Roman"/>
                <w:i w:val="0"/>
                <w:iCs w:val="0"/>
                <w:color w:val="000000"/>
                <w:sz w:val="18"/>
                <w:szCs w:val="18"/>
                <w:u w:val="none"/>
              </w:rPr>
            </w:pPr>
          </w:p>
        </w:tc>
        <w:tc>
          <w:tcPr>
            <w:tcW w:w="11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EC5E1E">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总额</w:t>
            </w:r>
          </w:p>
        </w:tc>
        <w:tc>
          <w:tcPr>
            <w:tcW w:w="10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AB4505">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0.00</w:t>
            </w:r>
          </w:p>
        </w:tc>
        <w:tc>
          <w:tcPr>
            <w:tcW w:w="12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629F9C">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7.69</w:t>
            </w:r>
          </w:p>
        </w:tc>
        <w:tc>
          <w:tcPr>
            <w:tcW w:w="178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A3F2C77">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7.69</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607F0F">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100.00%</w:t>
            </w:r>
          </w:p>
        </w:tc>
        <w:tc>
          <w:tcPr>
            <w:tcW w:w="4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DBCB0E">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10</w:t>
            </w:r>
          </w:p>
        </w:tc>
        <w:tc>
          <w:tcPr>
            <w:tcW w:w="4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8826EA">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10</w:t>
            </w:r>
          </w:p>
        </w:tc>
        <w:tc>
          <w:tcPr>
            <w:tcW w:w="14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2553225">
            <w:pPr>
              <w:rPr>
                <w:rFonts w:hint="default" w:ascii="Times New Roman" w:hAnsi="Times New Roman" w:eastAsia="黑体" w:cs="Times New Roman"/>
                <w:i/>
                <w:iCs/>
                <w:color w:val="000000"/>
                <w:sz w:val="18"/>
                <w:szCs w:val="18"/>
                <w:u w:val="none"/>
              </w:rPr>
            </w:pPr>
          </w:p>
        </w:tc>
      </w:tr>
      <w:tr w14:paraId="6C5D7D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6" w:hRule="atLeast"/>
        </w:trPr>
        <w:tc>
          <w:tcPr>
            <w:tcW w:w="5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642F0AB">
            <w:pPr>
              <w:jc w:val="center"/>
              <w:rPr>
                <w:rFonts w:hint="default" w:ascii="Times New Roman" w:hAnsi="Times New Roman" w:eastAsia="宋体" w:cs="Times New Roman"/>
                <w:i w:val="0"/>
                <w:iCs w:val="0"/>
                <w:color w:val="000000"/>
                <w:sz w:val="18"/>
                <w:szCs w:val="18"/>
                <w:u w:val="none"/>
              </w:rPr>
            </w:pPr>
          </w:p>
        </w:tc>
        <w:tc>
          <w:tcPr>
            <w:tcW w:w="11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AA8013">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其中：财政资金</w:t>
            </w:r>
          </w:p>
        </w:tc>
        <w:tc>
          <w:tcPr>
            <w:tcW w:w="10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ED20F2">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0.00</w:t>
            </w:r>
          </w:p>
        </w:tc>
        <w:tc>
          <w:tcPr>
            <w:tcW w:w="12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759369">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7.69</w:t>
            </w:r>
          </w:p>
        </w:tc>
        <w:tc>
          <w:tcPr>
            <w:tcW w:w="178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02C5BAE">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7.69</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3E2BE2">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100.00%</w:t>
            </w:r>
          </w:p>
        </w:tc>
        <w:tc>
          <w:tcPr>
            <w:tcW w:w="4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4C4822">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w:t>
            </w:r>
          </w:p>
        </w:tc>
        <w:tc>
          <w:tcPr>
            <w:tcW w:w="4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B6DD8A">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w:t>
            </w:r>
          </w:p>
        </w:tc>
        <w:tc>
          <w:tcPr>
            <w:tcW w:w="14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2B1E774">
            <w:pPr>
              <w:rPr>
                <w:rFonts w:hint="default" w:ascii="Times New Roman" w:hAnsi="Times New Roman" w:eastAsia="黑体" w:cs="Times New Roman"/>
                <w:i/>
                <w:iCs/>
                <w:color w:val="000000"/>
                <w:sz w:val="18"/>
                <w:szCs w:val="18"/>
                <w:u w:val="none"/>
              </w:rPr>
            </w:pPr>
          </w:p>
        </w:tc>
      </w:tr>
      <w:tr w14:paraId="0E8FD2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6" w:hRule="atLeast"/>
        </w:trPr>
        <w:tc>
          <w:tcPr>
            <w:tcW w:w="5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5DCEBAE">
            <w:pPr>
              <w:jc w:val="center"/>
              <w:rPr>
                <w:rFonts w:hint="default" w:ascii="Times New Roman" w:hAnsi="Times New Roman" w:eastAsia="宋体" w:cs="Times New Roman"/>
                <w:i w:val="0"/>
                <w:iCs w:val="0"/>
                <w:color w:val="000000"/>
                <w:sz w:val="18"/>
                <w:szCs w:val="18"/>
                <w:u w:val="none"/>
              </w:rPr>
            </w:pPr>
          </w:p>
        </w:tc>
        <w:tc>
          <w:tcPr>
            <w:tcW w:w="11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B0C736">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财政专户管理资金</w:t>
            </w:r>
          </w:p>
        </w:tc>
        <w:tc>
          <w:tcPr>
            <w:tcW w:w="10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645B75">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0.00</w:t>
            </w:r>
          </w:p>
        </w:tc>
        <w:tc>
          <w:tcPr>
            <w:tcW w:w="12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50FFAC">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0.00</w:t>
            </w:r>
          </w:p>
        </w:tc>
        <w:tc>
          <w:tcPr>
            <w:tcW w:w="178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8B000C0">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0.00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6E9516">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0.00%</w:t>
            </w:r>
          </w:p>
        </w:tc>
        <w:tc>
          <w:tcPr>
            <w:tcW w:w="4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2101D7">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w:t>
            </w:r>
          </w:p>
        </w:tc>
        <w:tc>
          <w:tcPr>
            <w:tcW w:w="4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3D647B">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w:t>
            </w:r>
          </w:p>
        </w:tc>
        <w:tc>
          <w:tcPr>
            <w:tcW w:w="14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E7A643B">
            <w:pPr>
              <w:rPr>
                <w:rFonts w:hint="default" w:ascii="Times New Roman" w:hAnsi="Times New Roman" w:eastAsia="黑体" w:cs="Times New Roman"/>
                <w:i/>
                <w:iCs/>
                <w:color w:val="000000"/>
                <w:sz w:val="18"/>
                <w:szCs w:val="18"/>
                <w:u w:val="none"/>
              </w:rPr>
            </w:pPr>
          </w:p>
        </w:tc>
      </w:tr>
      <w:tr w14:paraId="482D59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7" w:hRule="atLeast"/>
        </w:trPr>
        <w:tc>
          <w:tcPr>
            <w:tcW w:w="5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0832805">
            <w:pPr>
              <w:jc w:val="center"/>
              <w:rPr>
                <w:rFonts w:hint="default" w:ascii="Times New Roman" w:hAnsi="Times New Roman" w:eastAsia="宋体" w:cs="Times New Roman"/>
                <w:i w:val="0"/>
                <w:iCs w:val="0"/>
                <w:color w:val="000000"/>
                <w:sz w:val="18"/>
                <w:szCs w:val="18"/>
                <w:u w:val="none"/>
              </w:rPr>
            </w:pPr>
          </w:p>
        </w:tc>
        <w:tc>
          <w:tcPr>
            <w:tcW w:w="11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952EC3">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单位资金</w:t>
            </w:r>
          </w:p>
        </w:tc>
        <w:tc>
          <w:tcPr>
            <w:tcW w:w="10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B10723">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0.00</w:t>
            </w:r>
          </w:p>
        </w:tc>
        <w:tc>
          <w:tcPr>
            <w:tcW w:w="12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218768">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0.00</w:t>
            </w:r>
          </w:p>
        </w:tc>
        <w:tc>
          <w:tcPr>
            <w:tcW w:w="178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7D08314">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0.00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4B726F">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0.00%</w:t>
            </w:r>
          </w:p>
        </w:tc>
        <w:tc>
          <w:tcPr>
            <w:tcW w:w="4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795433">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w:t>
            </w:r>
          </w:p>
        </w:tc>
        <w:tc>
          <w:tcPr>
            <w:tcW w:w="4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9F39A0">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w:t>
            </w:r>
          </w:p>
        </w:tc>
        <w:tc>
          <w:tcPr>
            <w:tcW w:w="14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A2A46CB">
            <w:pPr>
              <w:rPr>
                <w:rFonts w:hint="default" w:ascii="Times New Roman" w:hAnsi="Times New Roman" w:eastAsia="黑体" w:cs="Times New Roman"/>
                <w:i/>
                <w:iCs/>
                <w:color w:val="000000"/>
                <w:sz w:val="18"/>
                <w:szCs w:val="18"/>
                <w:u w:val="none"/>
              </w:rPr>
            </w:pPr>
          </w:p>
        </w:tc>
      </w:tr>
      <w:tr w14:paraId="31C53B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5" w:hRule="atLeast"/>
        </w:trPr>
        <w:tc>
          <w:tcPr>
            <w:tcW w:w="5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6F42300">
            <w:pPr>
              <w:jc w:val="center"/>
              <w:rPr>
                <w:rFonts w:hint="default" w:ascii="Times New Roman" w:hAnsi="Times New Roman" w:eastAsia="宋体" w:cs="Times New Roman"/>
                <w:i w:val="0"/>
                <w:iCs w:val="0"/>
                <w:color w:val="000000"/>
                <w:sz w:val="18"/>
                <w:szCs w:val="18"/>
                <w:u w:val="none"/>
              </w:rPr>
            </w:pPr>
          </w:p>
        </w:tc>
        <w:tc>
          <w:tcPr>
            <w:tcW w:w="11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71892B">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其他资金</w:t>
            </w:r>
          </w:p>
        </w:tc>
        <w:tc>
          <w:tcPr>
            <w:tcW w:w="10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EC6579">
            <w:pPr>
              <w:jc w:val="center"/>
              <w:rPr>
                <w:rFonts w:hint="default" w:ascii="Times New Roman" w:hAnsi="Times New Roman" w:eastAsia="微软雅黑" w:cs="Times New Roman"/>
                <w:i/>
                <w:iCs/>
                <w:color w:val="000000"/>
                <w:sz w:val="16"/>
                <w:szCs w:val="16"/>
                <w:u w:val="none"/>
              </w:rPr>
            </w:pPr>
          </w:p>
        </w:tc>
        <w:tc>
          <w:tcPr>
            <w:tcW w:w="12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F3CCEF">
            <w:pPr>
              <w:jc w:val="center"/>
              <w:rPr>
                <w:rFonts w:hint="default" w:ascii="Times New Roman" w:hAnsi="Times New Roman" w:eastAsia="微软雅黑" w:cs="Times New Roman"/>
                <w:i/>
                <w:iCs/>
                <w:color w:val="000000"/>
                <w:sz w:val="16"/>
                <w:szCs w:val="16"/>
                <w:u w:val="none"/>
              </w:rPr>
            </w:pPr>
          </w:p>
        </w:tc>
        <w:tc>
          <w:tcPr>
            <w:tcW w:w="178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4FBF481">
            <w:pPr>
              <w:jc w:val="center"/>
              <w:rPr>
                <w:rFonts w:hint="default" w:ascii="Times New Roman" w:hAnsi="Times New Roman" w:eastAsia="微软雅黑" w:cs="Times New Roman"/>
                <w:i/>
                <w:iCs/>
                <w:color w:val="000000"/>
                <w:sz w:val="16"/>
                <w:szCs w:val="16"/>
                <w:u w:val="none"/>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38E61A">
            <w:pPr>
              <w:jc w:val="center"/>
              <w:rPr>
                <w:rFonts w:hint="default" w:ascii="Times New Roman" w:hAnsi="Times New Roman" w:eastAsia="微软雅黑" w:cs="Times New Roman"/>
                <w:i/>
                <w:iCs/>
                <w:color w:val="000000"/>
                <w:sz w:val="16"/>
                <w:szCs w:val="16"/>
                <w:u w:val="none"/>
              </w:rPr>
            </w:pPr>
          </w:p>
        </w:tc>
        <w:tc>
          <w:tcPr>
            <w:tcW w:w="4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89AFE7">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w:t>
            </w:r>
          </w:p>
        </w:tc>
        <w:tc>
          <w:tcPr>
            <w:tcW w:w="4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80D390">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w:t>
            </w:r>
          </w:p>
        </w:tc>
        <w:tc>
          <w:tcPr>
            <w:tcW w:w="14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5C9E077">
            <w:pPr>
              <w:rPr>
                <w:rFonts w:hint="default" w:ascii="Times New Roman" w:hAnsi="Times New Roman" w:eastAsia="黑体" w:cs="Times New Roman"/>
                <w:i/>
                <w:iCs/>
                <w:color w:val="000000"/>
                <w:sz w:val="18"/>
                <w:szCs w:val="18"/>
                <w:u w:val="none"/>
              </w:rPr>
            </w:pPr>
          </w:p>
        </w:tc>
      </w:tr>
      <w:tr w14:paraId="6871E7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91" w:hRule="atLeast"/>
        </w:trPr>
        <w:tc>
          <w:tcPr>
            <w:tcW w:w="57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1AEB714">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绩效指标（90分）</w:t>
            </w:r>
          </w:p>
        </w:tc>
        <w:tc>
          <w:tcPr>
            <w:tcW w:w="11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5FB3B7">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一级指标</w:t>
            </w:r>
          </w:p>
        </w:tc>
        <w:tc>
          <w:tcPr>
            <w:tcW w:w="10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7F0E61">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二级指标</w:t>
            </w:r>
          </w:p>
        </w:tc>
        <w:tc>
          <w:tcPr>
            <w:tcW w:w="12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142465">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三级指标</w:t>
            </w:r>
          </w:p>
        </w:tc>
        <w:tc>
          <w:tcPr>
            <w:tcW w:w="3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267A57">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指标性质</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CD95AC">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指标值</w:t>
            </w:r>
          </w:p>
        </w:tc>
        <w:tc>
          <w:tcPr>
            <w:tcW w:w="4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BD85EF">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度量单位</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A8453B">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完成值</w:t>
            </w:r>
          </w:p>
        </w:tc>
        <w:tc>
          <w:tcPr>
            <w:tcW w:w="4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6659E5">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权重</w:t>
            </w:r>
          </w:p>
        </w:tc>
        <w:tc>
          <w:tcPr>
            <w:tcW w:w="4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909A26">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得分</w:t>
            </w: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2EA6E0">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未完成原因分析</w:t>
            </w:r>
          </w:p>
        </w:tc>
      </w:tr>
      <w:tr w14:paraId="5BD9A8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6" w:hRule="atLeast"/>
        </w:trPr>
        <w:tc>
          <w:tcPr>
            <w:tcW w:w="5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5766CA5">
            <w:pPr>
              <w:jc w:val="center"/>
              <w:rPr>
                <w:rFonts w:hint="default" w:ascii="Times New Roman" w:hAnsi="Times New Roman" w:eastAsia="宋体" w:cs="Times New Roman"/>
                <w:i w:val="0"/>
                <w:iCs w:val="0"/>
                <w:color w:val="000000"/>
                <w:sz w:val="18"/>
                <w:szCs w:val="18"/>
                <w:u w:val="none"/>
              </w:rPr>
            </w:pPr>
          </w:p>
        </w:tc>
        <w:tc>
          <w:tcPr>
            <w:tcW w:w="117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8983A77">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产出指标</w:t>
            </w:r>
          </w:p>
        </w:tc>
        <w:tc>
          <w:tcPr>
            <w:tcW w:w="10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851867">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数量指标</w:t>
            </w:r>
          </w:p>
        </w:tc>
        <w:tc>
          <w:tcPr>
            <w:tcW w:w="12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81AB66">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森工企业退休人员数量</w:t>
            </w:r>
          </w:p>
        </w:tc>
        <w:tc>
          <w:tcPr>
            <w:tcW w:w="3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FD4C50">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5E82EC">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750</w:t>
            </w:r>
          </w:p>
        </w:tc>
        <w:tc>
          <w:tcPr>
            <w:tcW w:w="4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D28304">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人</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800EEC">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750人</w:t>
            </w:r>
          </w:p>
        </w:tc>
        <w:tc>
          <w:tcPr>
            <w:tcW w:w="4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B4CD08">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10</w:t>
            </w:r>
          </w:p>
        </w:tc>
        <w:tc>
          <w:tcPr>
            <w:tcW w:w="4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2AE500">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10</w:t>
            </w: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A88DB2">
            <w:pPr>
              <w:jc w:val="center"/>
              <w:rPr>
                <w:rFonts w:hint="default" w:ascii="Times New Roman" w:hAnsi="Times New Roman" w:eastAsia="微软雅黑" w:cs="Times New Roman"/>
                <w:i/>
                <w:iCs/>
                <w:color w:val="000000"/>
                <w:sz w:val="16"/>
                <w:szCs w:val="16"/>
                <w:u w:val="none"/>
              </w:rPr>
            </w:pPr>
          </w:p>
        </w:tc>
      </w:tr>
      <w:tr w14:paraId="0F6010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6" w:hRule="atLeast"/>
        </w:trPr>
        <w:tc>
          <w:tcPr>
            <w:tcW w:w="5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187C643">
            <w:pPr>
              <w:jc w:val="center"/>
              <w:rPr>
                <w:rFonts w:hint="default" w:ascii="Times New Roman" w:hAnsi="Times New Roman" w:eastAsia="宋体" w:cs="Times New Roman"/>
                <w:i w:val="0"/>
                <w:iCs w:val="0"/>
                <w:color w:val="000000"/>
                <w:sz w:val="18"/>
                <w:szCs w:val="18"/>
                <w:u w:val="none"/>
              </w:rPr>
            </w:pPr>
          </w:p>
        </w:tc>
        <w:tc>
          <w:tcPr>
            <w:tcW w:w="11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1D80F73">
            <w:pPr>
              <w:jc w:val="center"/>
              <w:rPr>
                <w:rFonts w:hint="default" w:ascii="Times New Roman" w:hAnsi="Times New Roman" w:eastAsia="宋体" w:cs="Times New Roman"/>
                <w:i w:val="0"/>
                <w:iCs w:val="0"/>
                <w:color w:val="000000"/>
                <w:sz w:val="18"/>
                <w:szCs w:val="18"/>
                <w:u w:val="none"/>
              </w:rPr>
            </w:pPr>
          </w:p>
        </w:tc>
        <w:tc>
          <w:tcPr>
            <w:tcW w:w="10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C98498">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质量指标</w:t>
            </w:r>
          </w:p>
        </w:tc>
        <w:tc>
          <w:tcPr>
            <w:tcW w:w="12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1FE94B">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按时足额发放率</w:t>
            </w:r>
          </w:p>
        </w:tc>
        <w:tc>
          <w:tcPr>
            <w:tcW w:w="3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BCD096">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77E383">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100</w:t>
            </w:r>
          </w:p>
        </w:tc>
        <w:tc>
          <w:tcPr>
            <w:tcW w:w="4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10D359">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1A0CF9">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100%</w:t>
            </w:r>
          </w:p>
        </w:tc>
        <w:tc>
          <w:tcPr>
            <w:tcW w:w="4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9EBA50">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20</w:t>
            </w:r>
          </w:p>
        </w:tc>
        <w:tc>
          <w:tcPr>
            <w:tcW w:w="4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00DA3B">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20</w:t>
            </w: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B95D9D">
            <w:pPr>
              <w:jc w:val="center"/>
              <w:rPr>
                <w:rFonts w:hint="default" w:ascii="Times New Roman" w:hAnsi="Times New Roman" w:eastAsia="微软雅黑" w:cs="Times New Roman"/>
                <w:i/>
                <w:iCs/>
                <w:color w:val="000000"/>
                <w:sz w:val="16"/>
                <w:szCs w:val="16"/>
                <w:u w:val="none"/>
              </w:rPr>
            </w:pPr>
          </w:p>
        </w:tc>
      </w:tr>
      <w:tr w14:paraId="22366A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6" w:hRule="atLeast"/>
        </w:trPr>
        <w:tc>
          <w:tcPr>
            <w:tcW w:w="5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9136AC0">
            <w:pPr>
              <w:jc w:val="center"/>
              <w:rPr>
                <w:rFonts w:hint="default" w:ascii="Times New Roman" w:hAnsi="Times New Roman" w:eastAsia="宋体" w:cs="Times New Roman"/>
                <w:i w:val="0"/>
                <w:iCs w:val="0"/>
                <w:color w:val="000000"/>
                <w:sz w:val="18"/>
                <w:szCs w:val="18"/>
                <w:u w:val="none"/>
              </w:rPr>
            </w:pPr>
          </w:p>
        </w:tc>
        <w:tc>
          <w:tcPr>
            <w:tcW w:w="11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93364A4">
            <w:pPr>
              <w:jc w:val="center"/>
              <w:rPr>
                <w:rFonts w:hint="default" w:ascii="Times New Roman" w:hAnsi="Times New Roman" w:eastAsia="宋体" w:cs="Times New Roman"/>
                <w:i w:val="0"/>
                <w:iCs w:val="0"/>
                <w:color w:val="000000"/>
                <w:sz w:val="18"/>
                <w:szCs w:val="18"/>
                <w:u w:val="none"/>
              </w:rPr>
            </w:pPr>
          </w:p>
        </w:tc>
        <w:tc>
          <w:tcPr>
            <w:tcW w:w="10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0BE34C">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时效指标</w:t>
            </w:r>
          </w:p>
        </w:tc>
        <w:tc>
          <w:tcPr>
            <w:tcW w:w="12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EB60D5">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完成时间</w:t>
            </w:r>
          </w:p>
        </w:tc>
        <w:tc>
          <w:tcPr>
            <w:tcW w:w="3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2D891A">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F4BA48">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w:t>
            </w:r>
          </w:p>
        </w:tc>
        <w:tc>
          <w:tcPr>
            <w:tcW w:w="4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582FEA">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年</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8E3BB0">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1年内完成</w:t>
            </w:r>
          </w:p>
        </w:tc>
        <w:tc>
          <w:tcPr>
            <w:tcW w:w="4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A0C492">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10</w:t>
            </w:r>
          </w:p>
        </w:tc>
        <w:tc>
          <w:tcPr>
            <w:tcW w:w="4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4007B2">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10</w:t>
            </w: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D13859">
            <w:pPr>
              <w:jc w:val="center"/>
              <w:rPr>
                <w:rFonts w:hint="default" w:ascii="Times New Roman" w:hAnsi="Times New Roman" w:eastAsia="微软雅黑" w:cs="Times New Roman"/>
                <w:i/>
                <w:iCs/>
                <w:color w:val="000000"/>
                <w:sz w:val="16"/>
                <w:szCs w:val="16"/>
                <w:u w:val="none"/>
              </w:rPr>
            </w:pPr>
          </w:p>
        </w:tc>
      </w:tr>
      <w:tr w14:paraId="68B7CF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5" w:hRule="atLeast"/>
        </w:trPr>
        <w:tc>
          <w:tcPr>
            <w:tcW w:w="5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4EC07B1">
            <w:pPr>
              <w:jc w:val="center"/>
              <w:rPr>
                <w:rFonts w:hint="default" w:ascii="Times New Roman" w:hAnsi="Times New Roman" w:eastAsia="宋体" w:cs="Times New Roman"/>
                <w:i w:val="0"/>
                <w:iCs w:val="0"/>
                <w:color w:val="000000"/>
                <w:sz w:val="18"/>
                <w:szCs w:val="18"/>
                <w:u w:val="none"/>
              </w:rPr>
            </w:pPr>
          </w:p>
        </w:tc>
        <w:tc>
          <w:tcPr>
            <w:tcW w:w="11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74AE0D">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效益指标</w:t>
            </w:r>
          </w:p>
        </w:tc>
        <w:tc>
          <w:tcPr>
            <w:tcW w:w="10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F5D751">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社会效益指标</w:t>
            </w:r>
          </w:p>
        </w:tc>
        <w:tc>
          <w:tcPr>
            <w:tcW w:w="12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5B3BD7">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维护社会稳定</w:t>
            </w:r>
          </w:p>
        </w:tc>
        <w:tc>
          <w:tcPr>
            <w:tcW w:w="3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F7B3F9">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定性</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C8D584">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好</w:t>
            </w:r>
          </w:p>
        </w:tc>
        <w:tc>
          <w:tcPr>
            <w:tcW w:w="4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DB39E6">
            <w:pPr>
              <w:jc w:val="center"/>
              <w:rPr>
                <w:rFonts w:hint="default" w:ascii="Times New Roman" w:hAnsi="Times New Roman" w:eastAsia="宋体" w:cs="Times New Roman"/>
                <w:i w:val="0"/>
                <w:iCs w:val="0"/>
                <w:color w:val="000000"/>
                <w:sz w:val="18"/>
                <w:szCs w:val="18"/>
                <w:u w:val="none"/>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730F4C">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好</w:t>
            </w:r>
          </w:p>
        </w:tc>
        <w:tc>
          <w:tcPr>
            <w:tcW w:w="4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2E8552">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20</w:t>
            </w:r>
          </w:p>
        </w:tc>
        <w:tc>
          <w:tcPr>
            <w:tcW w:w="4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811B0A">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20</w:t>
            </w: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D799E5">
            <w:pPr>
              <w:jc w:val="center"/>
              <w:rPr>
                <w:rFonts w:hint="default" w:ascii="Times New Roman" w:hAnsi="Times New Roman" w:eastAsia="微软雅黑" w:cs="Times New Roman"/>
                <w:i/>
                <w:iCs/>
                <w:color w:val="000000"/>
                <w:sz w:val="16"/>
                <w:szCs w:val="16"/>
                <w:u w:val="none"/>
              </w:rPr>
            </w:pPr>
          </w:p>
        </w:tc>
      </w:tr>
      <w:tr w14:paraId="249EF3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0" w:hRule="atLeast"/>
        </w:trPr>
        <w:tc>
          <w:tcPr>
            <w:tcW w:w="5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9E3D2AF">
            <w:pPr>
              <w:jc w:val="center"/>
              <w:rPr>
                <w:rFonts w:hint="default" w:ascii="Times New Roman" w:hAnsi="Times New Roman" w:eastAsia="宋体" w:cs="Times New Roman"/>
                <w:i w:val="0"/>
                <w:iCs w:val="0"/>
                <w:color w:val="000000"/>
                <w:sz w:val="18"/>
                <w:szCs w:val="18"/>
                <w:u w:val="none"/>
              </w:rPr>
            </w:pPr>
          </w:p>
        </w:tc>
        <w:tc>
          <w:tcPr>
            <w:tcW w:w="11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7FE827">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满意度指标</w:t>
            </w:r>
          </w:p>
        </w:tc>
        <w:tc>
          <w:tcPr>
            <w:tcW w:w="10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5D85F1">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服务对象满意度指标</w:t>
            </w:r>
          </w:p>
        </w:tc>
        <w:tc>
          <w:tcPr>
            <w:tcW w:w="12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D3C564">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森工退休人员满意度</w:t>
            </w:r>
          </w:p>
        </w:tc>
        <w:tc>
          <w:tcPr>
            <w:tcW w:w="3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00D939">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433311">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95</w:t>
            </w:r>
          </w:p>
        </w:tc>
        <w:tc>
          <w:tcPr>
            <w:tcW w:w="4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681CD3">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225B0B">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95%</w:t>
            </w:r>
          </w:p>
        </w:tc>
        <w:tc>
          <w:tcPr>
            <w:tcW w:w="4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1AA5D3">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10</w:t>
            </w:r>
          </w:p>
        </w:tc>
        <w:tc>
          <w:tcPr>
            <w:tcW w:w="4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181FD2">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10</w:t>
            </w: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A48570">
            <w:pPr>
              <w:jc w:val="center"/>
              <w:rPr>
                <w:rFonts w:hint="default" w:ascii="Times New Roman" w:hAnsi="Times New Roman" w:eastAsia="微软雅黑" w:cs="Times New Roman"/>
                <w:i/>
                <w:iCs/>
                <w:color w:val="000000"/>
                <w:sz w:val="16"/>
                <w:szCs w:val="16"/>
                <w:u w:val="none"/>
              </w:rPr>
            </w:pPr>
          </w:p>
        </w:tc>
      </w:tr>
      <w:tr w14:paraId="0FD13D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5" w:hRule="atLeast"/>
        </w:trPr>
        <w:tc>
          <w:tcPr>
            <w:tcW w:w="5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DAF1DFF">
            <w:pPr>
              <w:jc w:val="center"/>
              <w:rPr>
                <w:rFonts w:hint="default" w:ascii="Times New Roman" w:hAnsi="Times New Roman" w:eastAsia="宋体" w:cs="Times New Roman"/>
                <w:i w:val="0"/>
                <w:iCs w:val="0"/>
                <w:color w:val="000000"/>
                <w:sz w:val="18"/>
                <w:szCs w:val="18"/>
                <w:u w:val="none"/>
              </w:rPr>
            </w:pPr>
          </w:p>
        </w:tc>
        <w:tc>
          <w:tcPr>
            <w:tcW w:w="11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8BF827">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成本指标</w:t>
            </w:r>
          </w:p>
        </w:tc>
        <w:tc>
          <w:tcPr>
            <w:tcW w:w="10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A11147">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经济成本指标</w:t>
            </w:r>
          </w:p>
        </w:tc>
        <w:tc>
          <w:tcPr>
            <w:tcW w:w="12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13E34B">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社会化管理工作成本</w:t>
            </w:r>
          </w:p>
        </w:tc>
        <w:tc>
          <w:tcPr>
            <w:tcW w:w="3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34772C">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D25E7A">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7.69</w:t>
            </w:r>
          </w:p>
        </w:tc>
        <w:tc>
          <w:tcPr>
            <w:tcW w:w="4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60CEFD">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万元</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8E7C0F">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7.69万元</w:t>
            </w:r>
          </w:p>
        </w:tc>
        <w:tc>
          <w:tcPr>
            <w:tcW w:w="4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BC7AAF">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20</w:t>
            </w:r>
          </w:p>
        </w:tc>
        <w:tc>
          <w:tcPr>
            <w:tcW w:w="4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74247F">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20</w:t>
            </w: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53C3B8">
            <w:pPr>
              <w:jc w:val="center"/>
              <w:rPr>
                <w:rFonts w:hint="default" w:ascii="Times New Roman" w:hAnsi="Times New Roman" w:eastAsia="微软雅黑" w:cs="Times New Roman"/>
                <w:i/>
                <w:iCs/>
                <w:color w:val="000000"/>
                <w:sz w:val="16"/>
                <w:szCs w:val="16"/>
                <w:u w:val="none"/>
              </w:rPr>
            </w:pPr>
          </w:p>
        </w:tc>
      </w:tr>
      <w:tr w14:paraId="3473FF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7" w:hRule="atLeast"/>
        </w:trPr>
        <w:tc>
          <w:tcPr>
            <w:tcW w:w="6712"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71AA054F">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合计</w:t>
            </w:r>
          </w:p>
        </w:tc>
        <w:tc>
          <w:tcPr>
            <w:tcW w:w="4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DD815C">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100</w:t>
            </w:r>
          </w:p>
        </w:tc>
        <w:tc>
          <w:tcPr>
            <w:tcW w:w="4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91F613">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100</w:t>
            </w: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C2D5F7">
            <w:pPr>
              <w:rPr>
                <w:rFonts w:hint="default" w:ascii="Times New Roman" w:hAnsi="Times New Roman" w:eastAsia="宋体" w:cs="Times New Roman"/>
                <w:i w:val="0"/>
                <w:iCs w:val="0"/>
                <w:color w:val="000000"/>
                <w:sz w:val="18"/>
                <w:szCs w:val="18"/>
                <w:u w:val="none"/>
              </w:rPr>
            </w:pPr>
          </w:p>
        </w:tc>
      </w:tr>
      <w:tr w14:paraId="226EBA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5" w:hRule="atLeast"/>
        </w:trPr>
        <w:tc>
          <w:tcPr>
            <w:tcW w:w="5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3313C7">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评价结论</w:t>
            </w:r>
          </w:p>
        </w:tc>
        <w:tc>
          <w:tcPr>
            <w:tcW w:w="8521"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3AB86865">
            <w:pPr>
              <w:keepNext w:val="0"/>
              <w:keepLines w:val="0"/>
              <w:widowControl/>
              <w:suppressLineNumbers w:val="0"/>
              <w:jc w:val="left"/>
              <w:textAlignment w:val="center"/>
              <w:rPr>
                <w:rFonts w:hint="default" w:ascii="Times New Roman" w:hAnsi="Times New Roman" w:eastAsia="微软雅黑" w:cs="Times New Roman"/>
                <w:i w:val="0"/>
                <w:iCs w:val="0"/>
                <w:color w:val="000000"/>
                <w:sz w:val="16"/>
                <w:szCs w:val="16"/>
                <w:u w:val="none"/>
              </w:rPr>
            </w:pPr>
            <w:r>
              <w:rPr>
                <w:rFonts w:hint="default" w:ascii="Times New Roman" w:hAnsi="Times New Roman" w:eastAsia="微软雅黑" w:cs="Times New Roman"/>
                <w:i w:val="0"/>
                <w:iCs w:val="0"/>
                <w:color w:val="000000"/>
                <w:kern w:val="0"/>
                <w:sz w:val="16"/>
                <w:szCs w:val="16"/>
                <w:u w:val="none"/>
                <w:lang w:val="en-US" w:eastAsia="zh-CN" w:bidi="ar"/>
              </w:rPr>
              <w:t>项目自评总分100分，确保社保经办机构代管的省管森工企业离退休人员基本养老金按时足额发放，提升省管森工企业离退休人员社会化管理服务水平。2024年完成支付7.69万元，预算执行率100%。</w:t>
            </w:r>
          </w:p>
        </w:tc>
      </w:tr>
      <w:tr w14:paraId="6C5564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5" w:hRule="atLeast"/>
        </w:trPr>
        <w:tc>
          <w:tcPr>
            <w:tcW w:w="5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EBD385">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存在问题</w:t>
            </w:r>
          </w:p>
        </w:tc>
        <w:tc>
          <w:tcPr>
            <w:tcW w:w="8521"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7FC1BD90">
            <w:pPr>
              <w:keepNext w:val="0"/>
              <w:keepLines w:val="0"/>
              <w:widowControl/>
              <w:suppressLineNumbers w:val="0"/>
              <w:jc w:val="left"/>
              <w:textAlignment w:val="center"/>
              <w:rPr>
                <w:rFonts w:hint="default" w:ascii="Times New Roman" w:hAnsi="Times New Roman" w:eastAsia="微软雅黑" w:cs="Times New Roman"/>
                <w:i w:val="0"/>
                <w:iCs w:val="0"/>
                <w:color w:val="000000"/>
                <w:sz w:val="16"/>
                <w:szCs w:val="16"/>
                <w:u w:val="none"/>
              </w:rPr>
            </w:pPr>
            <w:r>
              <w:rPr>
                <w:rFonts w:hint="default" w:ascii="Times New Roman" w:hAnsi="Times New Roman" w:eastAsia="微软雅黑" w:cs="Times New Roman"/>
                <w:i w:val="0"/>
                <w:iCs w:val="0"/>
                <w:color w:val="000000"/>
                <w:kern w:val="0"/>
                <w:sz w:val="16"/>
                <w:szCs w:val="16"/>
                <w:u w:val="none"/>
                <w:lang w:val="en-US" w:eastAsia="zh-CN" w:bidi="ar"/>
              </w:rPr>
              <w:t>无</w:t>
            </w:r>
          </w:p>
        </w:tc>
      </w:tr>
      <w:tr w14:paraId="5CEB2C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5" w:hRule="atLeast"/>
        </w:trPr>
        <w:tc>
          <w:tcPr>
            <w:tcW w:w="5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80FAC1">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改进措施</w:t>
            </w:r>
          </w:p>
        </w:tc>
        <w:tc>
          <w:tcPr>
            <w:tcW w:w="8521"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3085EB6A">
            <w:pPr>
              <w:keepNext w:val="0"/>
              <w:keepLines w:val="0"/>
              <w:widowControl/>
              <w:suppressLineNumbers w:val="0"/>
              <w:jc w:val="left"/>
              <w:textAlignment w:val="center"/>
              <w:rPr>
                <w:rFonts w:hint="default" w:ascii="Times New Roman" w:hAnsi="Times New Roman" w:eastAsia="微软雅黑" w:cs="Times New Roman"/>
                <w:i w:val="0"/>
                <w:iCs w:val="0"/>
                <w:color w:val="000000"/>
                <w:sz w:val="16"/>
                <w:szCs w:val="16"/>
                <w:u w:val="none"/>
              </w:rPr>
            </w:pPr>
            <w:r>
              <w:rPr>
                <w:rFonts w:hint="default" w:ascii="Times New Roman" w:hAnsi="Times New Roman" w:eastAsia="微软雅黑" w:cs="Times New Roman"/>
                <w:i w:val="0"/>
                <w:iCs w:val="0"/>
                <w:color w:val="000000"/>
                <w:kern w:val="0"/>
                <w:sz w:val="16"/>
                <w:szCs w:val="16"/>
                <w:u w:val="none"/>
                <w:lang w:val="en-US" w:eastAsia="zh-CN" w:bidi="ar"/>
              </w:rPr>
              <w:t>无</w:t>
            </w:r>
          </w:p>
        </w:tc>
      </w:tr>
      <w:tr w14:paraId="723962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7" w:hRule="atLeast"/>
        </w:trPr>
        <w:tc>
          <w:tcPr>
            <w:tcW w:w="4477"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ACB87AB">
            <w:pPr>
              <w:keepNext w:val="0"/>
              <w:keepLines w:val="0"/>
              <w:widowControl/>
              <w:suppressLineNumbers w:val="0"/>
              <w:jc w:val="left"/>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项目负责人：高礼银</w:t>
            </w:r>
          </w:p>
        </w:tc>
        <w:tc>
          <w:tcPr>
            <w:tcW w:w="4623"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5594AE01">
            <w:pPr>
              <w:keepNext w:val="0"/>
              <w:keepLines w:val="0"/>
              <w:widowControl/>
              <w:suppressLineNumbers w:val="0"/>
              <w:jc w:val="left"/>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财务负责人：毛嵩</w:t>
            </w:r>
          </w:p>
        </w:tc>
      </w:tr>
    </w:tbl>
    <w:p w14:paraId="04AA94CC">
      <w:pPr>
        <w:rPr>
          <w:rFonts w:hint="default" w:ascii="Times New Roman" w:hAnsi="Times New Roman" w:eastAsia="黑体" w:cs="Times New Roman"/>
          <w:color w:val="auto"/>
          <w:kern w:val="0"/>
          <w:sz w:val="32"/>
          <w:szCs w:val="32"/>
          <w:highlight w:val="none"/>
          <w:shd w:val="clear" w:color="auto" w:fill="FFFFFF"/>
          <w:lang w:val="zh-CN"/>
        </w:rPr>
      </w:pPr>
    </w:p>
    <w:p w14:paraId="3D89FA95">
      <w:pPr>
        <w:pStyle w:val="5"/>
        <w:rPr>
          <w:rFonts w:hint="default" w:ascii="Times New Roman" w:hAnsi="Times New Roman" w:eastAsia="黑体" w:cs="Times New Roman"/>
          <w:color w:val="auto"/>
          <w:kern w:val="0"/>
          <w:sz w:val="32"/>
          <w:szCs w:val="32"/>
          <w:highlight w:val="none"/>
          <w:shd w:val="clear" w:color="auto" w:fill="FFFFFF"/>
          <w:lang w:val="zh-CN"/>
        </w:rPr>
      </w:pPr>
    </w:p>
    <w:p w14:paraId="3BDB1C1B">
      <w:pPr>
        <w:pStyle w:val="5"/>
        <w:rPr>
          <w:rFonts w:hint="default" w:ascii="Times New Roman" w:hAnsi="Times New Roman" w:eastAsia="黑体" w:cs="Times New Roman"/>
          <w:color w:val="auto"/>
          <w:kern w:val="0"/>
          <w:sz w:val="32"/>
          <w:szCs w:val="32"/>
          <w:highlight w:val="none"/>
          <w:shd w:val="clear" w:color="auto" w:fill="FFFFFF"/>
          <w:lang w:val="zh-CN"/>
        </w:rPr>
      </w:pPr>
    </w:p>
    <w:p w14:paraId="57996CA9">
      <w:pPr>
        <w:pStyle w:val="5"/>
        <w:rPr>
          <w:rFonts w:hint="default" w:ascii="Times New Roman" w:hAnsi="Times New Roman" w:eastAsia="黑体" w:cs="Times New Roman"/>
          <w:color w:val="auto"/>
          <w:kern w:val="0"/>
          <w:sz w:val="32"/>
          <w:szCs w:val="32"/>
          <w:highlight w:val="none"/>
          <w:shd w:val="clear" w:color="auto" w:fill="FFFFFF"/>
          <w:lang w:val="zh-CN"/>
        </w:rPr>
      </w:pPr>
    </w:p>
    <w:p w14:paraId="0B55D02F">
      <w:pPr>
        <w:pStyle w:val="5"/>
        <w:rPr>
          <w:rFonts w:hint="default" w:ascii="Times New Roman" w:hAnsi="Times New Roman" w:eastAsia="黑体" w:cs="Times New Roman"/>
          <w:color w:val="auto"/>
          <w:kern w:val="0"/>
          <w:sz w:val="32"/>
          <w:szCs w:val="32"/>
          <w:highlight w:val="none"/>
          <w:shd w:val="clear" w:color="auto" w:fill="FFFFFF"/>
          <w:lang w:val="zh-CN"/>
        </w:rPr>
      </w:pPr>
    </w:p>
    <w:p w14:paraId="677A57DF">
      <w:pPr>
        <w:pStyle w:val="5"/>
        <w:rPr>
          <w:rFonts w:hint="default" w:ascii="Times New Roman" w:hAnsi="Times New Roman" w:eastAsia="黑体" w:cs="Times New Roman"/>
          <w:color w:val="auto"/>
          <w:kern w:val="0"/>
          <w:sz w:val="32"/>
          <w:szCs w:val="32"/>
          <w:highlight w:val="none"/>
          <w:shd w:val="clear" w:color="auto" w:fill="FFFFFF"/>
          <w:lang w:val="zh-CN"/>
        </w:rPr>
      </w:pPr>
    </w:p>
    <w:p w14:paraId="604E5792">
      <w:pPr>
        <w:pStyle w:val="5"/>
        <w:rPr>
          <w:rFonts w:hint="default" w:ascii="Times New Roman" w:hAnsi="Times New Roman" w:eastAsia="黑体" w:cs="Times New Roman"/>
          <w:color w:val="auto"/>
          <w:kern w:val="0"/>
          <w:sz w:val="32"/>
          <w:szCs w:val="32"/>
          <w:highlight w:val="none"/>
          <w:shd w:val="clear" w:color="auto" w:fill="FFFFFF"/>
          <w:lang w:val="en-US" w:eastAsia="zh-CN"/>
        </w:rPr>
      </w:pPr>
      <w:r>
        <w:rPr>
          <w:rFonts w:hint="default" w:ascii="Times New Roman" w:hAnsi="Times New Roman" w:eastAsia="黑体" w:cs="Times New Roman"/>
          <w:color w:val="auto"/>
          <w:kern w:val="0"/>
          <w:sz w:val="32"/>
          <w:szCs w:val="32"/>
          <w:highlight w:val="none"/>
          <w:shd w:val="clear" w:color="auto" w:fill="FFFFFF"/>
          <w:lang w:val="zh-CN"/>
        </w:rPr>
        <w:t>附件</w:t>
      </w:r>
      <w:r>
        <w:rPr>
          <w:rFonts w:hint="default" w:ascii="Times New Roman" w:hAnsi="Times New Roman" w:eastAsia="黑体" w:cs="Times New Roman"/>
          <w:color w:val="auto"/>
          <w:kern w:val="0"/>
          <w:sz w:val="32"/>
          <w:szCs w:val="32"/>
          <w:highlight w:val="none"/>
          <w:shd w:val="clear" w:color="auto" w:fill="FFFFFF"/>
          <w:lang w:val="en-US" w:eastAsia="zh-CN"/>
        </w:rPr>
        <w:t>2</w:t>
      </w:r>
    </w:p>
    <w:p w14:paraId="5B1D89E4">
      <w:pPr>
        <w:pStyle w:val="37"/>
        <w:spacing w:line="600" w:lineRule="exact"/>
        <w:jc w:val="center"/>
        <w:rPr>
          <w:rFonts w:hint="eastAsia" w:ascii="方正小标宋_GBK" w:hAnsi="方正小标宋_GBK" w:eastAsia="方正小标宋_GBK" w:cs="方正小标宋_GBK"/>
          <w:color w:val="auto"/>
          <w:kern w:val="2"/>
          <w:sz w:val="44"/>
          <w:szCs w:val="44"/>
        </w:rPr>
      </w:pPr>
    </w:p>
    <w:p w14:paraId="3C7CCCD7">
      <w:pPr>
        <w:pStyle w:val="37"/>
        <w:spacing w:line="600" w:lineRule="exact"/>
        <w:jc w:val="center"/>
        <w:rPr>
          <w:rFonts w:hint="eastAsia" w:ascii="方正小标宋_GBK" w:hAnsi="方正小标宋_GBK" w:eastAsia="方正小标宋_GBK" w:cs="方正小标宋_GBK"/>
          <w:color w:val="auto"/>
          <w:kern w:val="2"/>
          <w:sz w:val="44"/>
          <w:szCs w:val="44"/>
        </w:rPr>
      </w:pPr>
      <w:r>
        <w:rPr>
          <w:rFonts w:hint="eastAsia" w:ascii="方正小标宋_GBK" w:hAnsi="方正小标宋_GBK" w:eastAsia="方正小标宋_GBK" w:cs="方正小标宋_GBK"/>
          <w:color w:val="auto"/>
          <w:kern w:val="2"/>
          <w:sz w:val="44"/>
          <w:szCs w:val="44"/>
        </w:rPr>
        <w:t>攀枝花市社会保险事务中心</w:t>
      </w:r>
    </w:p>
    <w:p w14:paraId="0837BF6B">
      <w:pPr>
        <w:pStyle w:val="37"/>
        <w:spacing w:line="600" w:lineRule="exact"/>
        <w:jc w:val="center"/>
        <w:rPr>
          <w:rFonts w:hint="eastAsia" w:ascii="方正小标宋_GBK" w:hAnsi="方正小标宋_GBK" w:eastAsia="方正小标宋_GBK" w:cs="方正小标宋_GBK"/>
          <w:color w:val="auto"/>
          <w:kern w:val="2"/>
          <w:sz w:val="44"/>
          <w:szCs w:val="44"/>
        </w:rPr>
      </w:pPr>
      <w:r>
        <w:rPr>
          <w:rFonts w:hint="eastAsia" w:ascii="方正小标宋_GBK" w:hAnsi="方正小标宋_GBK" w:eastAsia="方正小标宋_GBK" w:cs="方正小标宋_GBK"/>
          <w:color w:val="auto"/>
          <w:kern w:val="2"/>
          <w:sz w:val="44"/>
          <w:szCs w:val="44"/>
          <w:lang w:val="en-US"/>
        </w:rPr>
        <w:t>202</w:t>
      </w:r>
      <w:r>
        <w:rPr>
          <w:rFonts w:hint="eastAsia" w:ascii="方正小标宋_GBK" w:hAnsi="方正小标宋_GBK" w:eastAsia="方正小标宋_GBK" w:cs="方正小标宋_GBK"/>
          <w:color w:val="auto"/>
          <w:kern w:val="2"/>
          <w:sz w:val="44"/>
          <w:szCs w:val="44"/>
          <w:lang w:val="en-US" w:eastAsia="zh-CN"/>
        </w:rPr>
        <w:t>4</w:t>
      </w:r>
      <w:r>
        <w:rPr>
          <w:rFonts w:hint="eastAsia" w:ascii="方正小标宋_GBK" w:hAnsi="方正小标宋_GBK" w:eastAsia="方正小标宋_GBK" w:cs="方正小标宋_GBK"/>
          <w:color w:val="auto"/>
          <w:kern w:val="2"/>
          <w:sz w:val="44"/>
          <w:szCs w:val="44"/>
          <w:lang w:val="en-US"/>
        </w:rPr>
        <w:t>年</w:t>
      </w:r>
      <w:r>
        <w:rPr>
          <w:rFonts w:hint="eastAsia" w:ascii="方正小标宋_GBK" w:hAnsi="方正小标宋_GBK" w:eastAsia="方正小标宋_GBK" w:cs="方正小标宋_GBK"/>
          <w:color w:val="auto"/>
          <w:kern w:val="2"/>
          <w:sz w:val="44"/>
          <w:szCs w:val="44"/>
          <w:lang w:val="en-US" w:eastAsia="zh-CN"/>
        </w:rPr>
        <w:t>入驻政务中心单位租金、物业费及水电费</w:t>
      </w:r>
      <w:r>
        <w:rPr>
          <w:rFonts w:hint="eastAsia" w:ascii="方正小标宋_GBK" w:hAnsi="方正小标宋_GBK" w:eastAsia="方正小标宋_GBK" w:cs="方正小标宋_GBK"/>
          <w:color w:val="auto"/>
          <w:kern w:val="2"/>
          <w:sz w:val="44"/>
          <w:szCs w:val="44"/>
        </w:rPr>
        <w:t>专项预算项目支出绩效自评报告</w:t>
      </w:r>
    </w:p>
    <w:p w14:paraId="48E43B05">
      <w:pPr>
        <w:pStyle w:val="37"/>
        <w:spacing w:line="600" w:lineRule="exact"/>
        <w:ind w:firstLine="640"/>
        <w:jc w:val="center"/>
        <w:rPr>
          <w:rFonts w:hint="default" w:ascii="Times New Roman" w:hAnsi="Times New Roman" w:cs="Times New Roman"/>
          <w:color w:val="auto"/>
          <w:kern w:val="2"/>
          <w:sz w:val="32"/>
          <w:szCs w:val="32"/>
        </w:rPr>
      </w:pPr>
    </w:p>
    <w:p w14:paraId="3E8A983B">
      <w:pPr>
        <w:keepNext w:val="0"/>
        <w:keepLines w:val="0"/>
        <w:pageBreakBefore w:val="0"/>
        <w:kinsoku/>
        <w:wordWrap/>
        <w:overflowPunct/>
        <w:topLinePunct w:val="0"/>
        <w:autoSpaceDE/>
        <w:autoSpaceDN/>
        <w:bidi w:val="0"/>
        <w:adjustRightInd w:val="0"/>
        <w:snapToGrid w:val="0"/>
        <w:spacing w:line="600" w:lineRule="exact"/>
        <w:ind w:firstLine="720"/>
        <w:textAlignment w:val="auto"/>
        <w:rPr>
          <w:rFonts w:hint="default" w:ascii="Times New Roman" w:hAnsi="Times New Roman" w:eastAsia="黑体" w:cs="Times New Roman"/>
          <w:sz w:val="32"/>
          <w:szCs w:val="32"/>
          <w:lang w:val="zh-CN"/>
        </w:rPr>
      </w:pPr>
      <w:r>
        <w:rPr>
          <w:rFonts w:hint="default" w:ascii="Times New Roman" w:hAnsi="Times New Roman" w:eastAsia="黑体" w:cs="Times New Roman"/>
          <w:sz w:val="32"/>
          <w:szCs w:val="32"/>
        </w:rPr>
        <w:t>一、</w:t>
      </w:r>
      <w:r>
        <w:rPr>
          <w:rFonts w:hint="default" w:ascii="Times New Roman" w:hAnsi="Times New Roman" w:eastAsia="黑体" w:cs="Times New Roman"/>
          <w:sz w:val="32"/>
          <w:szCs w:val="32"/>
          <w:lang w:val="zh-CN"/>
        </w:rPr>
        <w:t>项目概况</w:t>
      </w:r>
    </w:p>
    <w:p w14:paraId="3D981A60">
      <w:pPr>
        <w:keepNext w:val="0"/>
        <w:keepLines w:val="0"/>
        <w:pageBreakBefore w:val="0"/>
        <w:kinsoku/>
        <w:wordWrap/>
        <w:overflowPunct/>
        <w:topLinePunct w:val="0"/>
        <w:autoSpaceDE/>
        <w:autoSpaceDN/>
        <w:bidi w:val="0"/>
        <w:adjustRightInd w:val="0"/>
        <w:snapToGrid w:val="0"/>
        <w:spacing w:line="600" w:lineRule="exact"/>
        <w:ind w:firstLine="720"/>
        <w:textAlignment w:val="auto"/>
        <w:rPr>
          <w:rFonts w:hint="default" w:ascii="Times New Roman" w:hAnsi="Times New Roman" w:eastAsia="楷体_GB2312" w:cs="Times New Roman"/>
          <w:b/>
          <w:sz w:val="32"/>
          <w:szCs w:val="32"/>
          <w:lang w:val="zh-CN"/>
        </w:rPr>
      </w:pPr>
      <w:r>
        <w:rPr>
          <w:rFonts w:hint="default" w:ascii="Times New Roman" w:hAnsi="Times New Roman" w:eastAsia="楷体_GB2312" w:cs="Times New Roman"/>
          <w:b/>
          <w:sz w:val="32"/>
          <w:szCs w:val="32"/>
          <w:lang w:val="zh-CN"/>
        </w:rPr>
        <w:t>（一）项目基本情况</w:t>
      </w:r>
    </w:p>
    <w:p w14:paraId="1BC2497D">
      <w:pPr>
        <w:keepNext w:val="0"/>
        <w:keepLines w:val="0"/>
        <w:pageBreakBefore w:val="0"/>
        <w:kinsoku/>
        <w:wordWrap/>
        <w:overflowPunct/>
        <w:topLinePunct w:val="0"/>
        <w:autoSpaceDE/>
        <w:autoSpaceDN/>
        <w:bidi w:val="0"/>
        <w:spacing w:line="600" w:lineRule="exact"/>
        <w:ind w:firstLine="640" w:firstLineChars="200"/>
        <w:jc w:val="both"/>
        <w:textAlignment w:val="auto"/>
        <w:rPr>
          <w:rFonts w:hint="default" w:ascii="Times New Roman" w:hAnsi="Times New Roman" w:eastAsia="仿宋_GB2312" w:cs="Times New Roman"/>
          <w:kern w:val="2"/>
          <w:sz w:val="32"/>
          <w:szCs w:val="32"/>
          <w:lang w:val="zh-CN" w:eastAsia="zh-CN" w:bidi="ar-SA"/>
        </w:rPr>
      </w:pPr>
      <w:r>
        <w:rPr>
          <w:rFonts w:hint="eastAsia" w:eastAsia="仿宋_GB2312" w:cs="Times New Roman"/>
          <w:kern w:val="2"/>
          <w:sz w:val="32"/>
          <w:szCs w:val="32"/>
          <w:lang w:val="en-US" w:eastAsia="zh-CN" w:bidi="ar-SA"/>
        </w:rPr>
        <w:t>1.</w:t>
      </w:r>
      <w:r>
        <w:rPr>
          <w:rFonts w:hint="default" w:ascii="Times New Roman" w:hAnsi="Times New Roman" w:eastAsia="仿宋_GB2312" w:cs="Times New Roman"/>
          <w:kern w:val="2"/>
          <w:sz w:val="32"/>
          <w:szCs w:val="32"/>
          <w:lang w:val="zh-CN" w:eastAsia="zh-CN" w:bidi="ar-SA"/>
        </w:rPr>
        <w:t>说明项目单位在该项目管理中的职能。</w:t>
      </w:r>
    </w:p>
    <w:p w14:paraId="2F6F9AD4">
      <w:pPr>
        <w:keepNext w:val="0"/>
        <w:keepLines w:val="0"/>
        <w:pageBreakBefore w:val="0"/>
        <w:kinsoku/>
        <w:wordWrap/>
        <w:overflowPunct/>
        <w:topLinePunct w:val="0"/>
        <w:autoSpaceDE/>
        <w:autoSpaceDN/>
        <w:bidi w:val="0"/>
        <w:spacing w:line="60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攀枝花市社会保险事务中心是“入驻政务中心单位租金、物业费及水电费”项目的实施主体，负责项目的实施、监督、管理等工作。攀枝花市社会保险事务中心主要职责为受理城镇应参加养老保险单位和个人的社会保险登记、申报管理。承担机关事业单位职业年金的征缴工作，承担养老保险管理工作。按规定核准和支付参保人员的养老保险待遇。建立和管理参保单位和个人缴费记录。开展与养老保险费征缴有关稽核工作。具体指导全市企业离退休人员社会化管理服务工作。负责组织实施全市机关事业单位养老保险社会统筹、制定和完善业务经办流程及内部控制管理制度、统一基金收支管理和离退休人员养老金发放。负责市本级机关事业单位参保登记、申报缴费、关系转移接续、个人账户和职业年金账户的建立管理、退休待遇核定、社会保险稽核和基金管理。指导各县（区）社保经办机构开展相关工作。承担工伤保险经办管理、市本级工伤保险单位行业风险类别及单位缴费率核定、编制工伤保险支付计划及劳动能力鉴定服务工作。负责指导全市工伤保险经办工作。组织实施全市工伤保险预防工作。</w:t>
      </w:r>
    </w:p>
    <w:p w14:paraId="50B92FA3">
      <w:pPr>
        <w:keepNext w:val="0"/>
        <w:keepLines w:val="0"/>
        <w:pageBreakBefore w:val="0"/>
        <w:kinsoku/>
        <w:wordWrap/>
        <w:overflowPunct/>
        <w:topLinePunct w:val="0"/>
        <w:autoSpaceDE/>
        <w:autoSpaceDN/>
        <w:bidi w:val="0"/>
        <w:spacing w:line="600" w:lineRule="exact"/>
        <w:ind w:firstLine="640" w:firstLineChars="200"/>
        <w:jc w:val="both"/>
        <w:textAlignment w:val="auto"/>
        <w:rPr>
          <w:rFonts w:hint="default" w:ascii="Times New Roman" w:hAnsi="Times New Roman" w:eastAsia="仿宋_GB2312" w:cs="Times New Roman"/>
          <w:kern w:val="2"/>
          <w:sz w:val="32"/>
          <w:szCs w:val="32"/>
          <w:lang w:val="zh-CN" w:eastAsia="zh-CN" w:bidi="ar-SA"/>
        </w:rPr>
      </w:pPr>
      <w:r>
        <w:rPr>
          <w:rFonts w:hint="eastAsia" w:eastAsia="仿宋_GB2312" w:cs="Times New Roman"/>
          <w:kern w:val="2"/>
          <w:sz w:val="32"/>
          <w:szCs w:val="32"/>
          <w:lang w:val="en-US" w:eastAsia="zh-CN" w:bidi="ar-SA"/>
        </w:rPr>
        <w:t>2.</w:t>
      </w:r>
      <w:r>
        <w:rPr>
          <w:rFonts w:hint="default" w:ascii="Times New Roman" w:hAnsi="Times New Roman" w:eastAsia="仿宋_GB2312" w:cs="Times New Roman"/>
          <w:kern w:val="2"/>
          <w:sz w:val="32"/>
          <w:szCs w:val="32"/>
          <w:lang w:val="zh-CN" w:eastAsia="zh-CN" w:bidi="ar-SA"/>
        </w:rPr>
        <w:t>项目立项、资金申报的依据。</w:t>
      </w:r>
    </w:p>
    <w:p w14:paraId="13248AE8">
      <w:pPr>
        <w:keepNext w:val="0"/>
        <w:keepLines w:val="0"/>
        <w:pageBreakBefore w:val="0"/>
        <w:kinsoku/>
        <w:wordWrap/>
        <w:overflowPunct/>
        <w:topLinePunct w:val="0"/>
        <w:autoSpaceDE/>
        <w:autoSpaceDN/>
        <w:bidi w:val="0"/>
        <w:spacing w:line="600" w:lineRule="exact"/>
        <w:ind w:firstLine="640" w:firstLineChars="200"/>
        <w:jc w:val="both"/>
        <w:textAlignment w:val="auto"/>
        <w:rPr>
          <w:rFonts w:hint="default" w:ascii="Times New Roman" w:hAnsi="Times New Roman" w:eastAsia="仿宋_GB2312" w:cs="Times New Roman"/>
          <w:kern w:val="2"/>
          <w:sz w:val="32"/>
          <w:szCs w:val="32"/>
          <w:lang w:val="zh-CN" w:eastAsia="zh-CN" w:bidi="ar-SA"/>
        </w:rPr>
      </w:pPr>
      <w:r>
        <w:rPr>
          <w:rFonts w:hint="default" w:ascii="Times New Roman" w:hAnsi="Times New Roman" w:eastAsia="仿宋_GB2312" w:cs="Times New Roman"/>
          <w:kern w:val="2"/>
          <w:sz w:val="32"/>
          <w:szCs w:val="32"/>
          <w:lang w:val="en-US" w:eastAsia="zh-CN" w:bidi="ar-SA"/>
        </w:rPr>
        <w:t>“入驻政务中心单位租金、物业费及水电费”</w:t>
      </w:r>
      <w:r>
        <w:rPr>
          <w:rFonts w:hint="default" w:ascii="Times New Roman" w:hAnsi="Times New Roman" w:eastAsia="仿宋_GB2312" w:cs="Times New Roman"/>
          <w:kern w:val="2"/>
          <w:sz w:val="32"/>
          <w:szCs w:val="32"/>
          <w:lang w:val="zh-CN" w:eastAsia="zh-CN" w:bidi="ar-SA"/>
        </w:rPr>
        <w:t>项目在</w:t>
      </w:r>
      <w:r>
        <w:rPr>
          <w:rFonts w:hint="default" w:ascii="Times New Roman" w:hAnsi="Times New Roman" w:eastAsia="仿宋_GB2312" w:cs="Times New Roman"/>
          <w:kern w:val="2"/>
          <w:sz w:val="32"/>
          <w:szCs w:val="32"/>
          <w:lang w:val="en-US" w:eastAsia="zh-CN" w:bidi="ar-SA"/>
        </w:rPr>
        <w:t>2024年</w:t>
      </w:r>
      <w:r>
        <w:rPr>
          <w:rFonts w:hint="default" w:ascii="Times New Roman" w:hAnsi="Times New Roman" w:eastAsia="仿宋_GB2312" w:cs="Times New Roman"/>
          <w:kern w:val="2"/>
          <w:sz w:val="32"/>
          <w:szCs w:val="32"/>
          <w:lang w:val="zh-CN" w:eastAsia="zh-CN" w:bidi="ar-SA"/>
        </w:rPr>
        <w:t>年初预算中申报，由市财政</w:t>
      </w:r>
      <w:r>
        <w:rPr>
          <w:rFonts w:hint="eastAsia" w:ascii="Times New Roman" w:hAnsi="Times New Roman" w:eastAsia="仿宋_GB2312" w:cs="Times New Roman"/>
          <w:kern w:val="2"/>
          <w:sz w:val="32"/>
          <w:szCs w:val="32"/>
          <w:lang w:val="en-US" w:eastAsia="zh-CN" w:bidi="ar-SA"/>
        </w:rPr>
        <w:t>局</w:t>
      </w:r>
      <w:r>
        <w:rPr>
          <w:rFonts w:hint="default" w:ascii="Times New Roman" w:hAnsi="Times New Roman" w:eastAsia="仿宋_GB2312" w:cs="Times New Roman"/>
          <w:kern w:val="2"/>
          <w:sz w:val="32"/>
          <w:szCs w:val="32"/>
          <w:lang w:val="zh-CN" w:eastAsia="zh-CN" w:bidi="ar-SA"/>
        </w:rPr>
        <w:t>批复。</w:t>
      </w:r>
    </w:p>
    <w:p w14:paraId="6FF3CB3B">
      <w:pPr>
        <w:keepNext w:val="0"/>
        <w:keepLines w:val="0"/>
        <w:pageBreakBefore w:val="0"/>
        <w:kinsoku/>
        <w:wordWrap/>
        <w:overflowPunct/>
        <w:topLinePunct w:val="0"/>
        <w:autoSpaceDE/>
        <w:autoSpaceDN/>
        <w:bidi w:val="0"/>
        <w:spacing w:line="600" w:lineRule="exact"/>
        <w:ind w:firstLine="640" w:firstLineChars="200"/>
        <w:jc w:val="both"/>
        <w:textAlignment w:val="auto"/>
        <w:rPr>
          <w:rFonts w:hint="default" w:ascii="Times New Roman" w:hAnsi="Times New Roman" w:eastAsia="仿宋_GB2312" w:cs="Times New Roman"/>
          <w:kern w:val="2"/>
          <w:sz w:val="32"/>
          <w:szCs w:val="32"/>
          <w:lang w:val="zh-CN" w:eastAsia="zh-CN" w:bidi="ar-SA"/>
        </w:rPr>
      </w:pPr>
      <w:r>
        <w:rPr>
          <w:rFonts w:hint="eastAsia" w:ascii="Times New Roman" w:hAnsi="Times New Roman" w:eastAsia="仿宋_GB2312" w:cs="Times New Roman"/>
          <w:kern w:val="2"/>
          <w:sz w:val="32"/>
          <w:szCs w:val="32"/>
          <w:lang w:val="en-US" w:eastAsia="zh-CN" w:bidi="ar-SA"/>
        </w:rPr>
        <w:t>3.</w:t>
      </w:r>
      <w:r>
        <w:rPr>
          <w:rFonts w:hint="default" w:ascii="Times New Roman" w:hAnsi="Times New Roman" w:eastAsia="仿宋_GB2312" w:cs="Times New Roman"/>
          <w:kern w:val="2"/>
          <w:sz w:val="32"/>
          <w:szCs w:val="32"/>
          <w:lang w:val="zh-CN" w:eastAsia="zh-CN" w:bidi="ar-SA"/>
        </w:rPr>
        <w:t>资金管理办法制定情况，资金支持具体项目的条件、范围与支持方式概况。</w:t>
      </w:r>
    </w:p>
    <w:p w14:paraId="0E349707">
      <w:pPr>
        <w:keepNext w:val="0"/>
        <w:keepLines w:val="0"/>
        <w:pageBreakBefore w:val="0"/>
        <w:kinsoku/>
        <w:wordWrap/>
        <w:overflowPunct/>
        <w:topLinePunct w:val="0"/>
        <w:autoSpaceDE/>
        <w:autoSpaceDN/>
        <w:bidi w:val="0"/>
        <w:spacing w:line="60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为进一步规范资金管理，提高资金使用绩效，我单位制定了《攀枝花市社会保险事务中心大额资金管理制度》。</w:t>
      </w:r>
    </w:p>
    <w:p w14:paraId="7292F758">
      <w:pPr>
        <w:keepNext w:val="0"/>
        <w:keepLines w:val="0"/>
        <w:pageBreakBefore w:val="0"/>
        <w:kinsoku/>
        <w:wordWrap/>
        <w:overflowPunct/>
        <w:topLinePunct w:val="0"/>
        <w:autoSpaceDE/>
        <w:autoSpaceDN/>
        <w:bidi w:val="0"/>
        <w:spacing w:line="600" w:lineRule="exact"/>
        <w:ind w:firstLine="640" w:firstLineChars="200"/>
        <w:jc w:val="both"/>
        <w:textAlignment w:val="auto"/>
        <w:rPr>
          <w:rFonts w:hint="default" w:ascii="Times New Roman" w:hAnsi="Times New Roman" w:eastAsia="仿宋_GB2312" w:cs="Times New Roman"/>
          <w:kern w:val="2"/>
          <w:sz w:val="32"/>
          <w:szCs w:val="32"/>
          <w:lang w:val="zh-CN" w:eastAsia="zh-CN" w:bidi="ar-SA"/>
        </w:rPr>
      </w:pPr>
      <w:r>
        <w:rPr>
          <w:rFonts w:hint="eastAsia" w:ascii="Times New Roman" w:hAnsi="Times New Roman" w:eastAsia="仿宋_GB2312" w:cs="Times New Roman"/>
          <w:kern w:val="2"/>
          <w:sz w:val="32"/>
          <w:szCs w:val="32"/>
          <w:lang w:val="en-US" w:eastAsia="zh-CN" w:bidi="ar-SA"/>
        </w:rPr>
        <w:t>4.</w:t>
      </w:r>
      <w:r>
        <w:rPr>
          <w:rFonts w:hint="default" w:ascii="Times New Roman" w:hAnsi="Times New Roman" w:eastAsia="仿宋_GB2312" w:cs="Times New Roman"/>
          <w:kern w:val="2"/>
          <w:sz w:val="32"/>
          <w:szCs w:val="32"/>
          <w:lang w:val="zh-CN" w:eastAsia="zh-CN" w:bidi="ar-SA"/>
        </w:rPr>
        <w:t>资金分配的原则及考虑因素。</w:t>
      </w:r>
    </w:p>
    <w:p w14:paraId="15185BDB">
      <w:pPr>
        <w:pStyle w:val="16"/>
        <w:keepNext w:val="0"/>
        <w:keepLines w:val="0"/>
        <w:pageBreakBefore w:val="0"/>
        <w:widowControl/>
        <w:suppressLineNumbers w:val="0"/>
        <w:kinsoku/>
        <w:wordWrap/>
        <w:overflowPunct/>
        <w:topLinePunct w:val="0"/>
        <w:autoSpaceDE/>
        <w:autoSpaceDN/>
        <w:bidi w:val="0"/>
        <w:spacing w:line="600" w:lineRule="exact"/>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cs="Times New Roman"/>
          <w:color w:val="FF0000"/>
          <w:sz w:val="32"/>
          <w:szCs w:val="32"/>
        </w:rPr>
        <w:t> </w:t>
      </w:r>
      <w:r>
        <w:rPr>
          <w:rFonts w:hint="eastAsia" w:ascii="Times New Roman" w:hAnsi="Times New Roman" w:cs="Times New Roman"/>
          <w:color w:val="FF0000"/>
          <w:sz w:val="32"/>
          <w:szCs w:val="32"/>
          <w:lang w:val="en-US" w:eastAsia="zh-CN"/>
        </w:rPr>
        <w:t xml:space="preserve">   </w:t>
      </w:r>
      <w:r>
        <w:rPr>
          <w:rFonts w:hint="default" w:ascii="Times New Roman" w:hAnsi="Times New Roman" w:eastAsia="仿宋_GB2312" w:cs="Times New Roman"/>
          <w:kern w:val="2"/>
          <w:sz w:val="32"/>
          <w:szCs w:val="32"/>
          <w:lang w:val="en-US" w:eastAsia="zh-CN" w:bidi="ar-SA"/>
        </w:rPr>
        <w:t>根据单位进驻人数，租金按照办公面积40元/平·年计算，物业费按照1000元/人计算，水电费按照1071元/人·年计算。</w:t>
      </w:r>
    </w:p>
    <w:p w14:paraId="346CCCF6">
      <w:pPr>
        <w:keepNext w:val="0"/>
        <w:keepLines w:val="0"/>
        <w:pageBreakBefore w:val="0"/>
        <w:kinsoku/>
        <w:wordWrap/>
        <w:overflowPunct/>
        <w:topLinePunct w:val="0"/>
        <w:autoSpaceDE/>
        <w:autoSpaceDN/>
        <w:bidi w:val="0"/>
        <w:adjustRightInd w:val="0"/>
        <w:snapToGrid w:val="0"/>
        <w:spacing w:line="600" w:lineRule="exact"/>
        <w:ind w:firstLine="720"/>
        <w:textAlignment w:val="auto"/>
        <w:rPr>
          <w:rFonts w:hint="default" w:ascii="Times New Roman" w:hAnsi="Times New Roman" w:eastAsia="楷体_GB2312" w:cs="Times New Roman"/>
          <w:b/>
          <w:sz w:val="32"/>
          <w:szCs w:val="32"/>
          <w:lang w:val="zh-CN"/>
        </w:rPr>
      </w:pPr>
      <w:r>
        <w:rPr>
          <w:rFonts w:hint="default" w:ascii="Times New Roman" w:hAnsi="Times New Roman" w:eastAsia="楷体_GB2312" w:cs="Times New Roman"/>
          <w:b/>
          <w:sz w:val="32"/>
          <w:szCs w:val="32"/>
          <w:lang w:val="zh-CN"/>
        </w:rPr>
        <w:t>（二）项目绩效目标</w:t>
      </w:r>
    </w:p>
    <w:p w14:paraId="4D32F922">
      <w:pPr>
        <w:keepNext w:val="0"/>
        <w:keepLines w:val="0"/>
        <w:pageBreakBefore w:val="0"/>
        <w:kinsoku/>
        <w:wordWrap/>
        <w:overflowPunct/>
        <w:topLinePunct w:val="0"/>
        <w:autoSpaceDE/>
        <w:autoSpaceDN/>
        <w:bidi w:val="0"/>
        <w:spacing w:line="600" w:lineRule="exact"/>
        <w:ind w:firstLine="640" w:firstLineChars="200"/>
        <w:jc w:val="both"/>
        <w:textAlignment w:val="auto"/>
        <w:rPr>
          <w:rFonts w:hint="default" w:ascii="Times New Roman" w:hAnsi="Times New Roman" w:eastAsia="仿宋_GB2312" w:cs="Times New Roman"/>
          <w:kern w:val="2"/>
          <w:sz w:val="32"/>
          <w:szCs w:val="32"/>
          <w:lang w:val="zh-CN" w:eastAsia="zh-CN" w:bidi="ar-SA"/>
        </w:rPr>
      </w:pPr>
      <w:r>
        <w:rPr>
          <w:rFonts w:hint="eastAsia" w:eastAsia="仿宋_GB2312" w:cs="Times New Roman"/>
          <w:kern w:val="2"/>
          <w:sz w:val="32"/>
          <w:szCs w:val="32"/>
          <w:lang w:val="en-US" w:eastAsia="zh-CN" w:bidi="ar-SA"/>
        </w:rPr>
        <w:t>1.</w:t>
      </w:r>
      <w:r>
        <w:rPr>
          <w:rFonts w:hint="default" w:ascii="Times New Roman" w:hAnsi="Times New Roman" w:eastAsia="仿宋_GB2312" w:cs="Times New Roman"/>
          <w:kern w:val="2"/>
          <w:sz w:val="32"/>
          <w:szCs w:val="32"/>
          <w:lang w:val="zh-CN" w:eastAsia="zh-CN" w:bidi="ar-SA"/>
        </w:rPr>
        <w:t>项目主要内容。</w:t>
      </w:r>
    </w:p>
    <w:p w14:paraId="0B17CE70">
      <w:pPr>
        <w:keepNext w:val="0"/>
        <w:keepLines w:val="0"/>
        <w:pageBreakBefore w:val="0"/>
        <w:kinsoku/>
        <w:wordWrap/>
        <w:overflowPunct/>
        <w:topLinePunct w:val="0"/>
        <w:autoSpaceDE/>
        <w:autoSpaceDN/>
        <w:bidi w:val="0"/>
        <w:adjustRightInd w:val="0"/>
        <w:snapToGrid w:val="0"/>
        <w:spacing w:line="600" w:lineRule="exact"/>
        <w:ind w:firstLine="72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“入驻政务中心单位租金、物业费及水电费”</w:t>
      </w:r>
      <w:r>
        <w:rPr>
          <w:rFonts w:hint="default" w:ascii="Times New Roman" w:hAnsi="Times New Roman" w:eastAsia="仿宋_GB2312" w:cs="Times New Roman"/>
          <w:kern w:val="0"/>
          <w:sz w:val="32"/>
          <w:szCs w:val="32"/>
          <w:lang w:eastAsia="zh-CN"/>
        </w:rPr>
        <w:t>项目资金</w:t>
      </w:r>
      <w:r>
        <w:rPr>
          <w:rFonts w:hint="default" w:ascii="Times New Roman" w:hAnsi="Times New Roman" w:eastAsia="仿宋_GB2312" w:cs="Times New Roman"/>
          <w:sz w:val="32"/>
          <w:szCs w:val="32"/>
        </w:rPr>
        <w:t>主要用于</w:t>
      </w:r>
      <w:r>
        <w:rPr>
          <w:rFonts w:hint="eastAsia" w:ascii="Times New Roman" w:hAnsi="Times New Roman" w:eastAsia="仿宋_GB2312" w:cs="Times New Roman"/>
          <w:sz w:val="32"/>
          <w:szCs w:val="32"/>
          <w:lang w:val="en-US" w:eastAsia="zh-CN"/>
        </w:rPr>
        <w:t>攀枝花</w:t>
      </w:r>
      <w:r>
        <w:rPr>
          <w:rFonts w:hint="default" w:ascii="Times New Roman" w:hAnsi="Times New Roman" w:eastAsia="仿宋_GB2312" w:cs="Times New Roman"/>
          <w:sz w:val="32"/>
          <w:szCs w:val="32"/>
        </w:rPr>
        <w:t>市</w:t>
      </w:r>
      <w:r>
        <w:rPr>
          <w:rFonts w:hint="default" w:ascii="Times New Roman" w:hAnsi="Times New Roman" w:eastAsia="仿宋_GB2312" w:cs="Times New Roman"/>
          <w:color w:val="auto"/>
          <w:sz w:val="32"/>
          <w:szCs w:val="32"/>
        </w:rPr>
        <w:t>社会保险事务中心支</w:t>
      </w:r>
      <w:r>
        <w:rPr>
          <w:rFonts w:hint="default" w:ascii="Times New Roman" w:hAnsi="Times New Roman" w:eastAsia="仿宋_GB2312" w:cs="Times New Roman"/>
          <w:sz w:val="32"/>
          <w:szCs w:val="32"/>
        </w:rPr>
        <w:t>付入驻</w:t>
      </w:r>
      <w:r>
        <w:rPr>
          <w:rFonts w:hint="eastAsia" w:ascii="Times New Roman" w:hAnsi="Times New Roman" w:eastAsia="仿宋_GB2312" w:cs="Times New Roman"/>
          <w:sz w:val="32"/>
          <w:szCs w:val="32"/>
          <w:lang w:val="en-US" w:eastAsia="zh-CN"/>
        </w:rPr>
        <w:t>市</w:t>
      </w:r>
      <w:r>
        <w:rPr>
          <w:rFonts w:hint="default" w:ascii="Times New Roman" w:hAnsi="Times New Roman" w:eastAsia="仿宋_GB2312" w:cs="Times New Roman"/>
          <w:sz w:val="32"/>
          <w:szCs w:val="32"/>
        </w:rPr>
        <w:t>政务中心单位租金、物业费及水电费</w:t>
      </w:r>
      <w:r>
        <w:rPr>
          <w:rFonts w:hint="default" w:ascii="Times New Roman" w:hAnsi="Times New Roman" w:cs="Times New Roman"/>
          <w:sz w:val="32"/>
          <w:szCs w:val="32"/>
          <w:lang w:eastAsia="zh-CN"/>
        </w:rPr>
        <w:t>，</w:t>
      </w:r>
      <w:r>
        <w:rPr>
          <w:rFonts w:hint="default" w:ascii="Times New Roman" w:hAnsi="Times New Roman" w:eastAsia="仿宋_GB2312" w:cs="Times New Roman"/>
          <w:sz w:val="32"/>
          <w:szCs w:val="32"/>
        </w:rPr>
        <w:t>保障单位正常运转</w:t>
      </w:r>
      <w:r>
        <w:rPr>
          <w:rFonts w:hint="default" w:ascii="Times New Roman" w:hAnsi="Times New Roman" w:cs="Times New Roman"/>
          <w:sz w:val="32"/>
          <w:szCs w:val="32"/>
          <w:lang w:eastAsia="zh-CN"/>
        </w:rPr>
        <w:t>。</w:t>
      </w:r>
    </w:p>
    <w:p w14:paraId="76FB574D">
      <w:pPr>
        <w:keepNext w:val="0"/>
        <w:keepLines w:val="0"/>
        <w:pageBreakBefore w:val="0"/>
        <w:kinsoku/>
        <w:wordWrap/>
        <w:overflowPunct/>
        <w:topLinePunct w:val="0"/>
        <w:autoSpaceDE/>
        <w:autoSpaceDN/>
        <w:bidi w:val="0"/>
        <w:adjustRightInd w:val="0"/>
        <w:snapToGrid w:val="0"/>
        <w:spacing w:line="600" w:lineRule="exact"/>
        <w:ind w:firstLine="720"/>
        <w:textAlignment w:val="auto"/>
        <w:rPr>
          <w:rFonts w:hint="default" w:ascii="Times New Roman" w:hAnsi="Times New Roman" w:eastAsia="仿宋_GB2312" w:cs="Times New Roman"/>
          <w:sz w:val="32"/>
          <w:szCs w:val="32"/>
          <w:lang w:val="zh-CN"/>
        </w:rPr>
      </w:pPr>
      <w:r>
        <w:rPr>
          <w:rFonts w:hint="eastAsia" w:ascii="Times New Roman" w:hAnsi="Times New Roman" w:eastAsia="仿宋_GB2312" w:cs="Times New Roman"/>
          <w:sz w:val="32"/>
          <w:szCs w:val="32"/>
          <w:lang w:val="en-US" w:eastAsia="zh-CN"/>
        </w:rPr>
        <w:t>2.</w:t>
      </w:r>
      <w:r>
        <w:rPr>
          <w:rFonts w:hint="default" w:ascii="Times New Roman" w:hAnsi="Times New Roman" w:eastAsia="仿宋_GB2312" w:cs="Times New Roman"/>
          <w:sz w:val="32"/>
          <w:szCs w:val="32"/>
          <w:lang w:val="zh-CN"/>
        </w:rPr>
        <w:t>项目应实现的具体绩效目标，包括目标的量化、细</w:t>
      </w:r>
      <w:r>
        <w:rPr>
          <w:rFonts w:hint="eastAsia" w:eastAsia="仿宋_GB2312" w:cs="Times New Roman"/>
          <w:sz w:val="32"/>
          <w:szCs w:val="32"/>
          <w:lang w:val="en-US" w:eastAsia="zh-CN"/>
        </w:rPr>
        <w:t>化</w:t>
      </w:r>
      <w:r>
        <w:rPr>
          <w:rFonts w:hint="default" w:ascii="Times New Roman" w:hAnsi="Times New Roman" w:eastAsia="仿宋_GB2312" w:cs="Times New Roman"/>
          <w:sz w:val="32"/>
          <w:szCs w:val="32"/>
          <w:lang w:val="zh-CN"/>
        </w:rPr>
        <w:t>情况以及项目实施进度计划等。</w:t>
      </w:r>
    </w:p>
    <w:p w14:paraId="39A3FB07">
      <w:pPr>
        <w:keepNext w:val="0"/>
        <w:keepLines w:val="0"/>
        <w:pageBreakBefore w:val="0"/>
        <w:kinsoku/>
        <w:wordWrap/>
        <w:overflowPunct/>
        <w:topLinePunct w:val="0"/>
        <w:autoSpaceDE/>
        <w:autoSpaceDN/>
        <w:bidi w:val="0"/>
        <w:adjustRightInd w:val="0"/>
        <w:snapToGrid w:val="0"/>
        <w:spacing w:line="600" w:lineRule="exact"/>
        <w:ind w:firstLine="720"/>
        <w:textAlignment w:val="auto"/>
        <w:rPr>
          <w:rFonts w:hint="default" w:ascii="Times New Roman" w:hAnsi="Times New Roman" w:eastAsia="仿宋_GB2312" w:cs="Times New Roman"/>
          <w:sz w:val="32"/>
          <w:szCs w:val="32"/>
          <w:lang w:val="zh-CN" w:eastAsia="zh-CN"/>
        </w:rPr>
      </w:pPr>
      <w:r>
        <w:rPr>
          <w:rFonts w:hint="default" w:ascii="Times New Roman" w:hAnsi="Times New Roman" w:eastAsia="仿宋_GB2312" w:cs="Times New Roman"/>
          <w:sz w:val="32"/>
          <w:szCs w:val="32"/>
          <w:lang w:val="zh-CN" w:eastAsia="zh-CN"/>
        </w:rPr>
        <w:t>（</w:t>
      </w:r>
      <w:r>
        <w:rPr>
          <w:rFonts w:hint="default" w:ascii="Times New Roman" w:hAnsi="Times New Roman" w:eastAsia="仿宋_GB2312" w:cs="Times New Roman"/>
          <w:sz w:val="32"/>
          <w:szCs w:val="32"/>
          <w:lang w:val="en-US" w:eastAsia="zh-CN"/>
        </w:rPr>
        <w:t>1</w:t>
      </w:r>
      <w:r>
        <w:rPr>
          <w:rFonts w:hint="default" w:ascii="Times New Roman" w:hAnsi="Times New Roman" w:eastAsia="仿宋_GB2312" w:cs="Times New Roman"/>
          <w:sz w:val="32"/>
          <w:szCs w:val="32"/>
          <w:lang w:val="zh-CN" w:eastAsia="zh-CN"/>
        </w:rPr>
        <w:t>）数量指标：入驻</w:t>
      </w:r>
      <w:r>
        <w:rPr>
          <w:rFonts w:hint="eastAsia" w:eastAsia="仿宋_GB2312" w:cs="Times New Roman"/>
          <w:sz w:val="32"/>
          <w:szCs w:val="32"/>
          <w:lang w:val="en-US" w:eastAsia="zh-CN"/>
        </w:rPr>
        <w:t>市</w:t>
      </w:r>
      <w:r>
        <w:rPr>
          <w:rFonts w:hint="default" w:ascii="Times New Roman" w:hAnsi="Times New Roman" w:eastAsia="仿宋_GB2312" w:cs="Times New Roman"/>
          <w:sz w:val="32"/>
          <w:szCs w:val="32"/>
          <w:lang w:val="zh-CN" w:eastAsia="zh-CN"/>
        </w:rPr>
        <w:t>政务中心单位租金、物业费及水电费797876.4元</w:t>
      </w:r>
      <w:r>
        <w:rPr>
          <w:rFonts w:hint="default" w:ascii="Times New Roman" w:hAnsi="Times New Roman" w:eastAsia="仿宋_GB2312" w:cs="Times New Roman"/>
          <w:sz w:val="32"/>
          <w:szCs w:val="32"/>
          <w:lang w:val="en-US" w:eastAsia="zh-CN"/>
        </w:rPr>
        <w:t>/年。</w:t>
      </w:r>
    </w:p>
    <w:p w14:paraId="639335BB">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sz w:val="32"/>
          <w:szCs w:val="32"/>
          <w:lang w:val="zh-CN" w:eastAsia="zh-CN"/>
        </w:rPr>
      </w:pPr>
      <w:r>
        <w:rPr>
          <w:rFonts w:hint="default" w:ascii="Times New Roman" w:hAnsi="Times New Roman" w:eastAsia="仿宋_GB2312" w:cs="Times New Roman"/>
          <w:sz w:val="32"/>
          <w:szCs w:val="32"/>
          <w:lang w:val="zh-CN" w:eastAsia="zh-CN"/>
        </w:rPr>
        <w:t>（</w:t>
      </w:r>
      <w:r>
        <w:rPr>
          <w:rFonts w:hint="default" w:ascii="Times New Roman" w:hAnsi="Times New Roman" w:eastAsia="仿宋_GB2312" w:cs="Times New Roman"/>
          <w:sz w:val="32"/>
          <w:szCs w:val="32"/>
          <w:lang w:val="en-US" w:eastAsia="zh-CN"/>
        </w:rPr>
        <w:t>2</w:t>
      </w:r>
      <w:r>
        <w:rPr>
          <w:rFonts w:hint="default" w:ascii="Times New Roman" w:hAnsi="Times New Roman" w:eastAsia="仿宋_GB2312" w:cs="Times New Roman"/>
          <w:sz w:val="32"/>
          <w:szCs w:val="32"/>
          <w:lang w:val="zh-CN" w:eastAsia="zh-CN"/>
        </w:rPr>
        <w:t>）质量指标：按时全额缴纳</w:t>
      </w:r>
      <w:r>
        <w:rPr>
          <w:rFonts w:hint="default" w:ascii="Times New Roman" w:hAnsi="Times New Roman" w:eastAsia="仿宋_GB2312" w:cs="Times New Roman"/>
          <w:sz w:val="32"/>
          <w:szCs w:val="32"/>
          <w:lang w:val="en-US" w:eastAsia="zh-CN"/>
        </w:rPr>
        <w:t>。</w:t>
      </w:r>
    </w:p>
    <w:p w14:paraId="09C0BCF9">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sz w:val="32"/>
          <w:szCs w:val="32"/>
          <w:lang w:val="zh-CN" w:eastAsia="zh-CN"/>
        </w:rPr>
      </w:pPr>
      <w:r>
        <w:rPr>
          <w:rFonts w:hint="default" w:ascii="Times New Roman" w:hAnsi="Times New Roman" w:eastAsia="仿宋_GB2312" w:cs="Times New Roman"/>
          <w:sz w:val="32"/>
          <w:szCs w:val="32"/>
          <w:lang w:val="zh-CN" w:eastAsia="zh-CN"/>
        </w:rPr>
        <w:t>（3）时效指标：1年内完成。</w:t>
      </w:r>
    </w:p>
    <w:p w14:paraId="116001B4">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sz w:val="32"/>
          <w:szCs w:val="32"/>
          <w:lang w:val="zh-CN" w:eastAsia="zh-CN"/>
        </w:rPr>
      </w:pPr>
      <w:r>
        <w:rPr>
          <w:rFonts w:hint="default" w:ascii="Times New Roman" w:hAnsi="Times New Roman" w:eastAsia="仿宋_GB2312" w:cs="Times New Roman"/>
          <w:sz w:val="32"/>
          <w:szCs w:val="32"/>
          <w:lang w:val="zh-CN" w:eastAsia="zh-CN"/>
        </w:rPr>
        <w:t>（</w:t>
      </w:r>
      <w:r>
        <w:rPr>
          <w:rFonts w:hint="default" w:ascii="Times New Roman" w:hAnsi="Times New Roman" w:eastAsia="仿宋_GB2312" w:cs="Times New Roman"/>
          <w:sz w:val="32"/>
          <w:szCs w:val="32"/>
          <w:lang w:val="en-US" w:eastAsia="zh-CN"/>
        </w:rPr>
        <w:t>4</w:t>
      </w:r>
      <w:r>
        <w:rPr>
          <w:rFonts w:hint="default" w:ascii="Times New Roman" w:hAnsi="Times New Roman" w:eastAsia="仿宋_GB2312" w:cs="Times New Roman"/>
          <w:sz w:val="32"/>
          <w:szCs w:val="32"/>
          <w:lang w:val="zh-CN" w:eastAsia="zh-CN"/>
        </w:rPr>
        <w:t>）成本指标：入驻</w:t>
      </w:r>
      <w:r>
        <w:rPr>
          <w:rFonts w:hint="eastAsia" w:ascii="Times New Roman" w:hAnsi="Times New Roman" w:eastAsia="仿宋_GB2312" w:cs="Times New Roman"/>
          <w:sz w:val="32"/>
          <w:szCs w:val="32"/>
          <w:lang w:val="en-US" w:eastAsia="zh-CN"/>
        </w:rPr>
        <w:t>市</w:t>
      </w:r>
      <w:r>
        <w:rPr>
          <w:rFonts w:hint="default" w:ascii="Times New Roman" w:hAnsi="Times New Roman" w:eastAsia="仿宋_GB2312" w:cs="Times New Roman"/>
          <w:sz w:val="32"/>
          <w:szCs w:val="32"/>
          <w:lang w:val="zh-CN" w:eastAsia="zh-CN"/>
        </w:rPr>
        <w:t>政务中心单位租金、物业费及水电费797876.4元</w:t>
      </w:r>
      <w:r>
        <w:rPr>
          <w:rFonts w:hint="default" w:ascii="Times New Roman" w:hAnsi="Times New Roman" w:eastAsia="仿宋_GB2312" w:cs="Times New Roman"/>
          <w:sz w:val="32"/>
          <w:szCs w:val="32"/>
          <w:lang w:val="en-US" w:eastAsia="zh-CN"/>
        </w:rPr>
        <w:t>/年</w:t>
      </w:r>
      <w:r>
        <w:rPr>
          <w:rFonts w:hint="default" w:ascii="Times New Roman" w:hAnsi="Times New Roman" w:eastAsia="仿宋_GB2312" w:cs="Times New Roman"/>
          <w:sz w:val="32"/>
          <w:szCs w:val="32"/>
          <w:lang w:val="zh-CN" w:eastAsia="zh-CN"/>
        </w:rPr>
        <w:t>。</w:t>
      </w:r>
    </w:p>
    <w:p w14:paraId="1DA0AD66">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zh-CN" w:eastAsia="zh-CN"/>
        </w:rPr>
        <w:t>（</w:t>
      </w:r>
      <w:r>
        <w:rPr>
          <w:rFonts w:hint="default" w:ascii="Times New Roman" w:hAnsi="Times New Roman" w:eastAsia="仿宋_GB2312" w:cs="Times New Roman"/>
          <w:sz w:val="32"/>
          <w:szCs w:val="32"/>
          <w:lang w:val="en-US" w:eastAsia="zh-CN"/>
        </w:rPr>
        <w:t>5</w:t>
      </w:r>
      <w:r>
        <w:rPr>
          <w:rFonts w:hint="default" w:ascii="Times New Roman" w:hAnsi="Times New Roman" w:eastAsia="仿宋_GB2312" w:cs="Times New Roman"/>
          <w:sz w:val="32"/>
          <w:szCs w:val="32"/>
          <w:lang w:val="zh-CN" w:eastAsia="zh-CN"/>
        </w:rPr>
        <w:t>）社会效益指标：保障单位正常运转。</w:t>
      </w:r>
    </w:p>
    <w:p w14:paraId="1250E631">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sz w:val="32"/>
          <w:szCs w:val="32"/>
          <w:lang w:val="zh-CN" w:eastAsia="zh-CN"/>
        </w:rPr>
      </w:pPr>
      <w:r>
        <w:rPr>
          <w:rFonts w:hint="default" w:ascii="Times New Roman" w:hAnsi="Times New Roman" w:eastAsia="仿宋_GB2312" w:cs="Times New Roman"/>
          <w:sz w:val="32"/>
          <w:szCs w:val="32"/>
          <w:lang w:val="zh-CN" w:eastAsia="zh-CN"/>
        </w:rPr>
        <w:t>（</w:t>
      </w:r>
      <w:r>
        <w:rPr>
          <w:rFonts w:hint="default" w:ascii="Times New Roman" w:hAnsi="Times New Roman" w:eastAsia="仿宋_GB2312" w:cs="Times New Roman"/>
          <w:sz w:val="32"/>
          <w:szCs w:val="32"/>
          <w:lang w:val="en-US" w:eastAsia="zh-CN"/>
        </w:rPr>
        <w:t>6</w:t>
      </w:r>
      <w:r>
        <w:rPr>
          <w:rFonts w:hint="default" w:ascii="Times New Roman" w:hAnsi="Times New Roman" w:eastAsia="仿宋_GB2312" w:cs="Times New Roman"/>
          <w:sz w:val="32"/>
          <w:szCs w:val="32"/>
          <w:lang w:val="zh-CN" w:eastAsia="zh-CN"/>
        </w:rPr>
        <w:t>）满意度指标：物业公司满意度达到满意。</w:t>
      </w:r>
    </w:p>
    <w:p w14:paraId="03592FAB">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sz w:val="32"/>
          <w:szCs w:val="32"/>
          <w:lang w:val="zh-CN" w:eastAsia="zh-CN"/>
        </w:rPr>
      </w:pPr>
      <w:r>
        <w:rPr>
          <w:rFonts w:hint="default" w:ascii="Times New Roman" w:hAnsi="Times New Roman" w:eastAsia="仿宋_GB2312" w:cs="Times New Roman"/>
          <w:sz w:val="32"/>
          <w:szCs w:val="32"/>
          <w:lang w:val="zh-CN" w:eastAsia="zh-CN"/>
        </w:rPr>
        <w:t>分析评价申报内容是否与实际相符，申报目标是否合理可行。</w:t>
      </w:r>
    </w:p>
    <w:p w14:paraId="333EBA88">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sz w:val="32"/>
          <w:szCs w:val="32"/>
          <w:lang w:val="zh-CN" w:eastAsia="zh-CN"/>
        </w:rPr>
      </w:pPr>
      <w:r>
        <w:rPr>
          <w:rFonts w:hint="eastAsia" w:ascii="Times New Roman" w:hAnsi="Times New Roman" w:eastAsia="仿宋_GB2312" w:cs="Times New Roman"/>
          <w:sz w:val="32"/>
          <w:szCs w:val="32"/>
          <w:lang w:val="en-US" w:eastAsia="zh-CN"/>
        </w:rPr>
        <w:t>攀枝花</w:t>
      </w:r>
      <w:r>
        <w:rPr>
          <w:rFonts w:hint="default" w:ascii="Times New Roman" w:hAnsi="Times New Roman" w:eastAsia="仿宋_GB2312" w:cs="Times New Roman"/>
          <w:sz w:val="32"/>
          <w:szCs w:val="32"/>
          <w:lang w:val="zh-CN" w:eastAsia="zh-CN"/>
        </w:rPr>
        <w:t>市社会保险事务中心按照20</w:t>
      </w:r>
      <w:r>
        <w:rPr>
          <w:rFonts w:hint="default" w:ascii="Times New Roman" w:hAnsi="Times New Roman" w:eastAsia="仿宋_GB2312" w:cs="Times New Roman"/>
          <w:sz w:val="32"/>
          <w:szCs w:val="32"/>
          <w:lang w:val="en-US" w:eastAsia="zh-CN"/>
        </w:rPr>
        <w:t>24</w:t>
      </w:r>
      <w:r>
        <w:rPr>
          <w:rFonts w:hint="default" w:ascii="Times New Roman" w:hAnsi="Times New Roman" w:eastAsia="仿宋_GB2312" w:cs="Times New Roman"/>
          <w:sz w:val="32"/>
          <w:szCs w:val="32"/>
          <w:lang w:val="zh-CN" w:eastAsia="zh-CN"/>
        </w:rPr>
        <w:t>年目标任务制定绩效目标，申报内容与实际相符，申报目标合理可行。</w:t>
      </w:r>
    </w:p>
    <w:p w14:paraId="36F52955">
      <w:pPr>
        <w:keepNext w:val="0"/>
        <w:keepLines w:val="0"/>
        <w:pageBreakBefore w:val="0"/>
        <w:kinsoku/>
        <w:wordWrap/>
        <w:overflowPunct/>
        <w:topLinePunct w:val="0"/>
        <w:autoSpaceDE/>
        <w:autoSpaceDN/>
        <w:bidi w:val="0"/>
        <w:adjustRightInd w:val="0"/>
        <w:snapToGrid w:val="0"/>
        <w:spacing w:line="600" w:lineRule="exact"/>
        <w:ind w:firstLine="720"/>
        <w:textAlignment w:val="auto"/>
        <w:rPr>
          <w:rFonts w:hint="default" w:ascii="Times New Roman" w:hAnsi="Times New Roman" w:eastAsia="楷体_GB2312" w:cs="Times New Roman"/>
          <w:b/>
          <w:sz w:val="32"/>
          <w:szCs w:val="32"/>
          <w:lang w:val="zh-CN"/>
        </w:rPr>
      </w:pPr>
      <w:r>
        <w:rPr>
          <w:rFonts w:hint="default" w:ascii="Times New Roman" w:hAnsi="Times New Roman" w:eastAsia="楷体_GB2312" w:cs="Times New Roman"/>
          <w:b/>
          <w:sz w:val="32"/>
          <w:szCs w:val="32"/>
          <w:lang w:val="zh-CN"/>
        </w:rPr>
        <w:t>（三）项目自评步骤及方法</w:t>
      </w:r>
    </w:p>
    <w:p w14:paraId="4ADFB37D">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sz w:val="32"/>
          <w:szCs w:val="32"/>
          <w:lang w:val="zh-CN" w:eastAsia="zh-CN"/>
        </w:rPr>
      </w:pPr>
      <w:r>
        <w:rPr>
          <w:rFonts w:hint="eastAsia" w:ascii="Times New Roman" w:hAnsi="Times New Roman" w:eastAsia="仿宋_GB2312" w:cs="Times New Roman"/>
          <w:sz w:val="32"/>
          <w:szCs w:val="32"/>
          <w:lang w:val="en-US" w:eastAsia="zh-CN"/>
        </w:rPr>
        <w:t>攀枝花</w:t>
      </w:r>
      <w:r>
        <w:rPr>
          <w:rFonts w:hint="default" w:ascii="Times New Roman" w:hAnsi="Times New Roman" w:eastAsia="仿宋_GB2312" w:cs="Times New Roman"/>
          <w:sz w:val="32"/>
          <w:szCs w:val="32"/>
          <w:lang w:val="zh-CN" w:eastAsia="zh-CN"/>
        </w:rPr>
        <w:t>市社会保险事务中心项目绩效评价按照前期准备阶段、自评阶段、实施评价阶段、报告撰写阶段、结果运用阶段五个阶段的工作流程。办公室成立项目评价小组对项目资金执行情况进行自查自评。</w:t>
      </w:r>
    </w:p>
    <w:p w14:paraId="341995D3">
      <w:pPr>
        <w:keepNext w:val="0"/>
        <w:keepLines w:val="0"/>
        <w:pageBreakBefore w:val="0"/>
        <w:kinsoku/>
        <w:wordWrap/>
        <w:overflowPunct/>
        <w:topLinePunct w:val="0"/>
        <w:autoSpaceDE/>
        <w:autoSpaceDN/>
        <w:bidi w:val="0"/>
        <w:adjustRightInd w:val="0"/>
        <w:snapToGrid w:val="0"/>
        <w:spacing w:line="600" w:lineRule="exact"/>
        <w:ind w:firstLine="72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二、项目资金申报及使用情况</w:t>
      </w:r>
    </w:p>
    <w:p w14:paraId="20C81DB7">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sz w:val="32"/>
          <w:szCs w:val="32"/>
          <w:lang w:val="zh-CN" w:eastAsia="zh-CN"/>
        </w:rPr>
      </w:pPr>
      <w:r>
        <w:rPr>
          <w:rFonts w:hint="default" w:ascii="Times New Roman" w:hAnsi="Times New Roman" w:eastAsia="仿宋_GB2312" w:cs="Times New Roman"/>
          <w:sz w:val="32"/>
          <w:szCs w:val="32"/>
          <w:lang w:val="zh-CN" w:eastAsia="zh-CN"/>
        </w:rPr>
        <w:t>“入驻政务中心单位租金、物业费及水电费”项目资金共</w:t>
      </w:r>
      <w:r>
        <w:rPr>
          <w:rFonts w:hint="default" w:ascii="Times New Roman" w:hAnsi="Times New Roman" w:eastAsia="仿宋_GB2312" w:cs="Times New Roman"/>
          <w:sz w:val="32"/>
          <w:szCs w:val="32"/>
          <w:lang w:val="en-US" w:eastAsia="zh-CN"/>
        </w:rPr>
        <w:t>79.79</w:t>
      </w:r>
      <w:r>
        <w:rPr>
          <w:rFonts w:hint="default" w:ascii="Times New Roman" w:hAnsi="Times New Roman" w:eastAsia="仿宋_GB2312" w:cs="Times New Roman"/>
          <w:sz w:val="32"/>
          <w:szCs w:val="32"/>
          <w:lang w:val="zh-CN" w:eastAsia="zh-CN"/>
        </w:rPr>
        <w:t>万元，资金支付完成100%。</w:t>
      </w:r>
    </w:p>
    <w:p w14:paraId="1EB12857">
      <w:pPr>
        <w:keepNext w:val="0"/>
        <w:keepLines w:val="0"/>
        <w:pageBreakBefore w:val="0"/>
        <w:kinsoku/>
        <w:wordWrap/>
        <w:overflowPunct/>
        <w:topLinePunct w:val="0"/>
        <w:autoSpaceDE/>
        <w:autoSpaceDN/>
        <w:bidi w:val="0"/>
        <w:adjustRightInd w:val="0"/>
        <w:snapToGrid w:val="0"/>
        <w:spacing w:line="600" w:lineRule="exact"/>
        <w:ind w:firstLine="720"/>
        <w:textAlignment w:val="auto"/>
        <w:rPr>
          <w:rFonts w:hint="default" w:ascii="Times New Roman" w:hAnsi="Times New Roman" w:eastAsia="楷体_GB2312" w:cs="Times New Roman"/>
          <w:b/>
          <w:sz w:val="32"/>
          <w:szCs w:val="32"/>
          <w:lang w:val="zh-CN"/>
        </w:rPr>
      </w:pPr>
      <w:r>
        <w:rPr>
          <w:rFonts w:hint="default" w:ascii="Times New Roman" w:hAnsi="Times New Roman" w:eastAsia="楷体_GB2312" w:cs="Times New Roman"/>
          <w:b/>
          <w:sz w:val="32"/>
          <w:szCs w:val="32"/>
          <w:lang w:val="zh-CN"/>
        </w:rPr>
        <w:t>（一）项目资金申报及批复情况</w:t>
      </w:r>
    </w:p>
    <w:p w14:paraId="3B05EE26">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sz w:val="32"/>
          <w:szCs w:val="32"/>
          <w:lang w:val="zh-CN" w:eastAsia="zh-CN"/>
        </w:rPr>
      </w:pPr>
      <w:r>
        <w:rPr>
          <w:rFonts w:hint="default" w:ascii="Times New Roman" w:hAnsi="Times New Roman" w:eastAsia="仿宋_GB2312" w:cs="Times New Roman"/>
          <w:sz w:val="32"/>
          <w:szCs w:val="32"/>
          <w:lang w:val="zh-CN" w:eastAsia="zh-CN"/>
        </w:rPr>
        <w:t>“入驻政务中心单位租金、物业费及水电费”项目资金由市级财政下拨，</w:t>
      </w:r>
      <w:r>
        <w:rPr>
          <w:rFonts w:hint="eastAsia" w:ascii="Times New Roman" w:hAnsi="Times New Roman" w:eastAsia="仿宋_GB2312" w:cs="Times New Roman"/>
          <w:sz w:val="32"/>
          <w:szCs w:val="32"/>
          <w:lang w:val="en-US" w:eastAsia="zh-CN"/>
        </w:rPr>
        <w:t>攀枝花</w:t>
      </w:r>
      <w:r>
        <w:rPr>
          <w:rFonts w:hint="default" w:ascii="Times New Roman" w:hAnsi="Times New Roman" w:eastAsia="仿宋_GB2312" w:cs="Times New Roman"/>
          <w:sz w:val="32"/>
          <w:szCs w:val="32"/>
          <w:lang w:val="zh-CN" w:eastAsia="zh-CN"/>
        </w:rPr>
        <w:t>市社会保险事务中心在“预算管理一体化系统”中申报项目资金，市级财政完成批复并下达指标。</w:t>
      </w:r>
    </w:p>
    <w:p w14:paraId="02D14CB4">
      <w:pPr>
        <w:keepNext w:val="0"/>
        <w:keepLines w:val="0"/>
        <w:pageBreakBefore w:val="0"/>
        <w:kinsoku/>
        <w:wordWrap/>
        <w:overflowPunct/>
        <w:topLinePunct w:val="0"/>
        <w:autoSpaceDE/>
        <w:autoSpaceDN/>
        <w:bidi w:val="0"/>
        <w:adjustRightInd w:val="0"/>
        <w:snapToGrid w:val="0"/>
        <w:spacing w:line="600" w:lineRule="exact"/>
        <w:ind w:firstLine="720"/>
        <w:textAlignment w:val="auto"/>
        <w:rPr>
          <w:rFonts w:hint="default" w:ascii="Times New Roman" w:hAnsi="Times New Roman" w:cs="Times New Roman"/>
          <w:sz w:val="32"/>
          <w:szCs w:val="32"/>
          <w:lang w:val="zh-CN"/>
        </w:rPr>
      </w:pPr>
      <w:r>
        <w:rPr>
          <w:rFonts w:hint="default" w:ascii="Times New Roman" w:hAnsi="Times New Roman" w:eastAsia="楷体_GB2312" w:cs="Times New Roman"/>
          <w:b/>
          <w:sz w:val="32"/>
          <w:szCs w:val="32"/>
          <w:lang w:val="zh-CN"/>
        </w:rPr>
        <w:t>（二）资金计划、到位及使用情况</w:t>
      </w:r>
    </w:p>
    <w:p w14:paraId="3FEBE0E2">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sz w:val="32"/>
          <w:szCs w:val="32"/>
          <w:lang w:val="zh-CN" w:eastAsia="zh-CN"/>
        </w:rPr>
      </w:pPr>
      <w:r>
        <w:rPr>
          <w:rFonts w:hint="eastAsia" w:ascii="Times New Roman" w:hAnsi="Times New Roman" w:eastAsia="仿宋_GB2312" w:cs="Times New Roman"/>
          <w:sz w:val="32"/>
          <w:szCs w:val="32"/>
          <w:lang w:val="en-US" w:eastAsia="zh-CN"/>
        </w:rPr>
        <w:t>1.</w:t>
      </w:r>
      <w:r>
        <w:rPr>
          <w:rFonts w:hint="default" w:ascii="Times New Roman" w:hAnsi="Times New Roman" w:eastAsia="仿宋_GB2312" w:cs="Times New Roman"/>
          <w:sz w:val="32"/>
          <w:szCs w:val="32"/>
          <w:lang w:val="zh-CN" w:eastAsia="zh-CN"/>
        </w:rPr>
        <w:t>资金计划。</w:t>
      </w:r>
    </w:p>
    <w:p w14:paraId="1B161436">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sz w:val="32"/>
          <w:szCs w:val="32"/>
          <w:lang w:val="zh-CN" w:eastAsia="zh-CN"/>
        </w:rPr>
      </w:pPr>
      <w:r>
        <w:rPr>
          <w:rFonts w:hint="default" w:ascii="Times New Roman" w:hAnsi="Times New Roman" w:eastAsia="仿宋_GB2312" w:cs="Times New Roman"/>
          <w:sz w:val="32"/>
          <w:szCs w:val="32"/>
          <w:lang w:val="zh-CN" w:eastAsia="zh-CN"/>
        </w:rPr>
        <w:t>此项目资金</w:t>
      </w:r>
      <w:r>
        <w:rPr>
          <w:rFonts w:hint="default" w:ascii="Times New Roman" w:hAnsi="Times New Roman" w:eastAsia="仿宋_GB2312" w:cs="Times New Roman"/>
          <w:sz w:val="32"/>
          <w:szCs w:val="32"/>
          <w:lang w:val="en-US" w:eastAsia="zh-CN"/>
        </w:rPr>
        <w:t>79.79</w:t>
      </w:r>
      <w:r>
        <w:rPr>
          <w:rFonts w:hint="default" w:ascii="Times New Roman" w:hAnsi="Times New Roman" w:eastAsia="仿宋_GB2312" w:cs="Times New Roman"/>
          <w:sz w:val="32"/>
          <w:szCs w:val="32"/>
          <w:lang w:val="zh-CN" w:eastAsia="zh-CN"/>
        </w:rPr>
        <w:t>万元，用于支付入驻</w:t>
      </w:r>
      <w:r>
        <w:rPr>
          <w:rFonts w:hint="eastAsia" w:ascii="Times New Roman" w:hAnsi="Times New Roman" w:eastAsia="仿宋_GB2312" w:cs="Times New Roman"/>
          <w:sz w:val="32"/>
          <w:szCs w:val="32"/>
          <w:lang w:val="en-US" w:eastAsia="zh-CN"/>
        </w:rPr>
        <w:t>市</w:t>
      </w:r>
      <w:r>
        <w:rPr>
          <w:rFonts w:hint="default" w:ascii="Times New Roman" w:hAnsi="Times New Roman" w:eastAsia="仿宋_GB2312" w:cs="Times New Roman"/>
          <w:sz w:val="32"/>
          <w:szCs w:val="32"/>
          <w:lang w:val="zh-CN" w:eastAsia="zh-CN"/>
        </w:rPr>
        <w:t>政务中心单位租金、物业费及水电费，保障单位正常运转。</w:t>
      </w:r>
    </w:p>
    <w:p w14:paraId="24D65C60">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sz w:val="32"/>
          <w:szCs w:val="32"/>
          <w:lang w:val="zh-CN" w:eastAsia="zh-CN"/>
        </w:rPr>
      </w:pPr>
      <w:r>
        <w:rPr>
          <w:rFonts w:hint="eastAsia" w:ascii="Times New Roman" w:hAnsi="Times New Roman" w:eastAsia="仿宋_GB2312" w:cs="Times New Roman"/>
          <w:sz w:val="32"/>
          <w:szCs w:val="32"/>
          <w:lang w:val="en-US" w:eastAsia="zh-CN"/>
        </w:rPr>
        <w:t>2.</w:t>
      </w:r>
      <w:r>
        <w:rPr>
          <w:rFonts w:hint="default" w:ascii="Times New Roman" w:hAnsi="Times New Roman" w:eastAsia="仿宋_GB2312" w:cs="Times New Roman"/>
          <w:sz w:val="32"/>
          <w:szCs w:val="32"/>
          <w:lang w:val="zh-CN" w:eastAsia="zh-CN"/>
        </w:rPr>
        <w:t>资金到位。</w:t>
      </w:r>
    </w:p>
    <w:p w14:paraId="4A297A3B">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sz w:val="32"/>
          <w:szCs w:val="32"/>
          <w:lang w:val="zh-CN" w:eastAsia="zh-CN"/>
        </w:rPr>
      </w:pPr>
      <w:r>
        <w:rPr>
          <w:rFonts w:hint="default" w:ascii="Times New Roman" w:hAnsi="Times New Roman" w:eastAsia="仿宋_GB2312" w:cs="Times New Roman"/>
          <w:sz w:val="32"/>
          <w:szCs w:val="32"/>
          <w:lang w:val="zh-CN" w:eastAsia="zh-CN"/>
        </w:rPr>
        <w:t>此项目资金</w:t>
      </w:r>
      <w:r>
        <w:rPr>
          <w:rFonts w:hint="default" w:ascii="Times New Roman" w:hAnsi="Times New Roman" w:eastAsia="仿宋_GB2312" w:cs="Times New Roman"/>
          <w:sz w:val="32"/>
          <w:szCs w:val="32"/>
          <w:lang w:val="en-US" w:eastAsia="zh-CN"/>
        </w:rPr>
        <w:t>79.79</w:t>
      </w:r>
      <w:r>
        <w:rPr>
          <w:rFonts w:hint="default" w:ascii="Times New Roman" w:hAnsi="Times New Roman" w:eastAsia="仿宋_GB2312" w:cs="Times New Roman"/>
          <w:sz w:val="32"/>
          <w:szCs w:val="32"/>
          <w:lang w:val="zh-CN" w:eastAsia="zh-CN"/>
        </w:rPr>
        <w:t>万元，于202</w:t>
      </w:r>
      <w:r>
        <w:rPr>
          <w:rFonts w:hint="default" w:ascii="Times New Roman" w:hAnsi="Times New Roman" w:eastAsia="仿宋_GB2312" w:cs="Times New Roman"/>
          <w:sz w:val="32"/>
          <w:szCs w:val="32"/>
          <w:lang w:val="en-US" w:eastAsia="zh-CN"/>
        </w:rPr>
        <w:t>4</w:t>
      </w:r>
      <w:r>
        <w:rPr>
          <w:rFonts w:hint="default" w:ascii="Times New Roman" w:hAnsi="Times New Roman" w:eastAsia="仿宋_GB2312" w:cs="Times New Roman"/>
          <w:sz w:val="32"/>
          <w:szCs w:val="32"/>
          <w:lang w:val="zh-CN" w:eastAsia="zh-CN"/>
        </w:rPr>
        <w:t>年中由市级财政批复并下达预算指标，到位率100%。</w:t>
      </w:r>
    </w:p>
    <w:p w14:paraId="175D396D">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sz w:val="32"/>
          <w:szCs w:val="32"/>
          <w:lang w:val="zh-CN" w:eastAsia="zh-CN"/>
        </w:rPr>
      </w:pPr>
      <w:r>
        <w:rPr>
          <w:rFonts w:hint="eastAsia" w:ascii="Times New Roman" w:hAnsi="Times New Roman" w:eastAsia="仿宋_GB2312" w:cs="Times New Roman"/>
          <w:sz w:val="32"/>
          <w:szCs w:val="32"/>
          <w:lang w:val="en-US" w:eastAsia="zh-CN"/>
        </w:rPr>
        <w:t>3.</w:t>
      </w:r>
      <w:r>
        <w:rPr>
          <w:rFonts w:hint="default" w:ascii="Times New Roman" w:hAnsi="Times New Roman" w:eastAsia="仿宋_GB2312" w:cs="Times New Roman"/>
          <w:sz w:val="32"/>
          <w:szCs w:val="32"/>
          <w:lang w:val="zh-CN" w:eastAsia="zh-CN"/>
        </w:rPr>
        <w:t>资金使用。</w:t>
      </w:r>
    </w:p>
    <w:p w14:paraId="6DA6C1EF">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sz w:val="32"/>
          <w:szCs w:val="32"/>
          <w:lang w:val="zh-CN" w:eastAsia="zh-CN"/>
        </w:rPr>
      </w:pPr>
      <w:r>
        <w:rPr>
          <w:rFonts w:hint="default" w:ascii="Times New Roman" w:hAnsi="Times New Roman" w:eastAsia="仿宋_GB2312" w:cs="Times New Roman"/>
          <w:sz w:val="32"/>
          <w:szCs w:val="32"/>
          <w:lang w:val="zh-CN" w:eastAsia="zh-CN"/>
        </w:rPr>
        <w:t>此项目资金主要用于支付入驻</w:t>
      </w:r>
      <w:r>
        <w:rPr>
          <w:rFonts w:hint="eastAsia" w:ascii="Times New Roman" w:hAnsi="Times New Roman" w:eastAsia="仿宋_GB2312" w:cs="Times New Roman"/>
          <w:sz w:val="32"/>
          <w:szCs w:val="32"/>
          <w:lang w:val="en-US" w:eastAsia="zh-CN"/>
        </w:rPr>
        <w:t>市</w:t>
      </w:r>
      <w:r>
        <w:rPr>
          <w:rFonts w:hint="default" w:ascii="Times New Roman" w:hAnsi="Times New Roman" w:eastAsia="仿宋_GB2312" w:cs="Times New Roman"/>
          <w:sz w:val="32"/>
          <w:szCs w:val="32"/>
          <w:lang w:val="zh-CN" w:eastAsia="zh-CN"/>
        </w:rPr>
        <w:t>政务中心单位租金、物业费及水电费。此项目资金到位后，</w:t>
      </w:r>
      <w:r>
        <w:rPr>
          <w:rFonts w:hint="eastAsia" w:ascii="Times New Roman" w:hAnsi="Times New Roman" w:eastAsia="仿宋_GB2312" w:cs="Times New Roman"/>
          <w:sz w:val="32"/>
          <w:szCs w:val="32"/>
          <w:lang w:val="en-US" w:eastAsia="zh-CN"/>
        </w:rPr>
        <w:t>攀枝花</w:t>
      </w:r>
      <w:r>
        <w:rPr>
          <w:rFonts w:hint="default" w:ascii="Times New Roman" w:hAnsi="Times New Roman" w:eastAsia="仿宋_GB2312" w:cs="Times New Roman"/>
          <w:sz w:val="32"/>
          <w:szCs w:val="32"/>
          <w:lang w:val="zh-CN" w:eastAsia="zh-CN"/>
        </w:rPr>
        <w:t>市社会保险事务中心严格按财经纪律、财务管理等相关规定，严格审核各项支出，及时支付，专款专用，资金支付完成100%。</w:t>
      </w:r>
    </w:p>
    <w:p w14:paraId="4F2045ED">
      <w:pPr>
        <w:keepNext w:val="0"/>
        <w:keepLines w:val="0"/>
        <w:pageBreakBefore w:val="0"/>
        <w:kinsoku/>
        <w:wordWrap/>
        <w:overflowPunct/>
        <w:topLinePunct w:val="0"/>
        <w:autoSpaceDE/>
        <w:autoSpaceDN/>
        <w:bidi w:val="0"/>
        <w:adjustRightInd w:val="0"/>
        <w:snapToGrid w:val="0"/>
        <w:spacing w:line="600" w:lineRule="exact"/>
        <w:ind w:firstLine="720"/>
        <w:textAlignment w:val="auto"/>
        <w:rPr>
          <w:rFonts w:hint="default" w:ascii="Times New Roman" w:hAnsi="Times New Roman" w:eastAsia="楷体_GB2312" w:cs="Times New Roman"/>
          <w:b/>
          <w:sz w:val="32"/>
          <w:szCs w:val="32"/>
          <w:lang w:val="zh-CN"/>
        </w:rPr>
      </w:pPr>
      <w:r>
        <w:rPr>
          <w:rFonts w:hint="default" w:ascii="Times New Roman" w:hAnsi="Times New Roman" w:eastAsia="楷体_GB2312" w:cs="Times New Roman"/>
          <w:b/>
          <w:sz w:val="32"/>
          <w:szCs w:val="32"/>
          <w:lang w:val="zh-CN"/>
        </w:rPr>
        <w:t>（三）项目财务管理情况</w:t>
      </w:r>
    </w:p>
    <w:p w14:paraId="4BF52E27">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sz w:val="32"/>
          <w:szCs w:val="32"/>
          <w:lang w:val="zh-CN"/>
        </w:rPr>
      </w:pPr>
      <w:r>
        <w:rPr>
          <w:rFonts w:hint="eastAsia" w:ascii="Times New Roman" w:hAnsi="Times New Roman" w:eastAsia="仿宋_GB2312" w:cs="Times New Roman"/>
          <w:sz w:val="32"/>
          <w:szCs w:val="32"/>
          <w:lang w:val="en-US" w:eastAsia="zh-CN"/>
        </w:rPr>
        <w:t>攀枝花</w:t>
      </w:r>
      <w:r>
        <w:rPr>
          <w:rFonts w:hint="default" w:ascii="Times New Roman" w:hAnsi="Times New Roman" w:eastAsia="仿宋_GB2312" w:cs="Times New Roman"/>
          <w:sz w:val="32"/>
          <w:szCs w:val="32"/>
          <w:lang w:val="zh-CN" w:eastAsia="zh-CN"/>
        </w:rPr>
        <w:t>市社会保险事务中心建立了财务管理制度，由办公室统一管理</w:t>
      </w:r>
      <w:r>
        <w:rPr>
          <w:rFonts w:hint="default"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lang w:val="zh-CN" w:eastAsia="zh-CN"/>
        </w:rPr>
        <w:t>“社保公共服务能力建设资金”项目资金，严格按照上级要求上报资金使用计划，并在实施过程中做到资金专项专用。所有支出严格按照财务会计管理规定，做到资金使用有计划、审批有手续、支出合理规范。并及时进行账务处理和会计核算，按财政要求及时编制和公开项目资金绩效目标。</w:t>
      </w:r>
    </w:p>
    <w:p w14:paraId="48EA5F67">
      <w:pPr>
        <w:keepNext w:val="0"/>
        <w:keepLines w:val="0"/>
        <w:pageBreakBefore w:val="0"/>
        <w:kinsoku/>
        <w:wordWrap/>
        <w:overflowPunct/>
        <w:topLinePunct w:val="0"/>
        <w:autoSpaceDE/>
        <w:autoSpaceDN/>
        <w:bidi w:val="0"/>
        <w:adjustRightInd w:val="0"/>
        <w:snapToGrid w:val="0"/>
        <w:spacing w:line="600" w:lineRule="exact"/>
        <w:ind w:firstLine="72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三、项目实施及管理情况</w:t>
      </w:r>
    </w:p>
    <w:p w14:paraId="3DB3F30E">
      <w:pPr>
        <w:keepNext w:val="0"/>
        <w:keepLines w:val="0"/>
        <w:pageBreakBefore w:val="0"/>
        <w:numPr>
          <w:ilvl w:val="0"/>
          <w:numId w:val="3"/>
        </w:numPr>
        <w:kinsoku/>
        <w:wordWrap/>
        <w:overflowPunct/>
        <w:topLinePunct w:val="0"/>
        <w:autoSpaceDE/>
        <w:autoSpaceDN/>
        <w:bidi w:val="0"/>
        <w:adjustRightInd w:val="0"/>
        <w:snapToGrid w:val="0"/>
        <w:spacing w:line="600" w:lineRule="exact"/>
        <w:ind w:firstLine="720"/>
        <w:textAlignment w:val="auto"/>
        <w:rPr>
          <w:rFonts w:hint="default" w:ascii="Times New Roman" w:hAnsi="Times New Roman" w:eastAsia="楷体_GB2312" w:cs="Times New Roman"/>
          <w:b/>
          <w:sz w:val="32"/>
          <w:szCs w:val="32"/>
          <w:lang w:val="zh-CN"/>
        </w:rPr>
      </w:pPr>
      <w:r>
        <w:rPr>
          <w:rFonts w:hint="default" w:ascii="Times New Roman" w:hAnsi="Times New Roman" w:eastAsia="楷体_GB2312" w:cs="Times New Roman"/>
          <w:b/>
          <w:sz w:val="32"/>
          <w:szCs w:val="32"/>
          <w:lang w:val="zh-CN"/>
        </w:rPr>
        <w:t>项目组织架构及实施流程</w:t>
      </w:r>
    </w:p>
    <w:p w14:paraId="22010A39">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sz w:val="32"/>
          <w:szCs w:val="32"/>
          <w:lang w:val="zh-CN" w:eastAsia="zh-CN"/>
        </w:rPr>
      </w:pPr>
      <w:r>
        <w:rPr>
          <w:rFonts w:hint="default" w:ascii="Times New Roman" w:hAnsi="Times New Roman" w:eastAsia="仿宋_GB2312" w:cs="Times New Roman"/>
          <w:sz w:val="32"/>
          <w:szCs w:val="32"/>
          <w:lang w:val="zh-CN" w:eastAsia="zh-CN"/>
        </w:rPr>
        <w:t>办公室在部门预算中申报项目资金，并制定绩效目标；按照项目执行情况在“预算管理一体化系统”中完成资金的申请和支付。</w:t>
      </w:r>
      <w:r>
        <w:rPr>
          <w:rFonts w:hint="default" w:ascii="Times New Roman" w:hAnsi="Times New Roman" w:eastAsia="仿宋_GB2312" w:cs="Times New Roman"/>
          <w:sz w:val="32"/>
          <w:szCs w:val="32"/>
          <w:lang w:val="en-US" w:eastAsia="zh-CN"/>
        </w:rPr>
        <w:t>稽核科成立项目督导检查工作小组，不定期对项目执行进度情况进行督导检查</w:t>
      </w:r>
      <w:r>
        <w:rPr>
          <w:rFonts w:hint="default" w:ascii="Times New Roman" w:hAnsi="Times New Roman" w:eastAsia="仿宋_GB2312" w:cs="Times New Roman"/>
          <w:sz w:val="32"/>
          <w:szCs w:val="32"/>
          <w:lang w:val="zh-CN" w:eastAsia="zh-CN"/>
        </w:rPr>
        <w:t>。</w:t>
      </w:r>
    </w:p>
    <w:p w14:paraId="631BA098">
      <w:pPr>
        <w:keepNext w:val="0"/>
        <w:keepLines w:val="0"/>
        <w:pageBreakBefore w:val="0"/>
        <w:numPr>
          <w:ilvl w:val="0"/>
          <w:numId w:val="3"/>
        </w:numPr>
        <w:kinsoku/>
        <w:wordWrap/>
        <w:overflowPunct/>
        <w:topLinePunct w:val="0"/>
        <w:autoSpaceDE/>
        <w:autoSpaceDN/>
        <w:bidi w:val="0"/>
        <w:adjustRightInd w:val="0"/>
        <w:snapToGrid w:val="0"/>
        <w:spacing w:line="600" w:lineRule="exact"/>
        <w:ind w:left="0" w:leftChars="0" w:firstLine="720" w:firstLineChars="0"/>
        <w:textAlignment w:val="auto"/>
        <w:rPr>
          <w:rFonts w:hint="default" w:ascii="Times New Roman" w:hAnsi="Times New Roman" w:eastAsia="楷体_GB2312" w:cs="Times New Roman"/>
          <w:b/>
          <w:sz w:val="32"/>
          <w:szCs w:val="32"/>
          <w:lang w:val="zh-CN"/>
        </w:rPr>
      </w:pPr>
      <w:r>
        <w:rPr>
          <w:rFonts w:hint="default" w:ascii="Times New Roman" w:hAnsi="Times New Roman" w:eastAsia="楷体_GB2312" w:cs="Times New Roman"/>
          <w:b/>
          <w:sz w:val="32"/>
          <w:szCs w:val="32"/>
          <w:lang w:val="zh-CN"/>
        </w:rPr>
        <w:t>项目管理情况</w:t>
      </w:r>
    </w:p>
    <w:p w14:paraId="0AD4BD08">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sz w:val="32"/>
          <w:szCs w:val="32"/>
          <w:lang w:val="zh-CN" w:eastAsia="zh-CN"/>
        </w:rPr>
      </w:pPr>
      <w:r>
        <w:rPr>
          <w:rFonts w:hint="eastAsia" w:ascii="Times New Roman" w:hAnsi="Times New Roman" w:eastAsia="仿宋_GB2312" w:cs="Times New Roman"/>
          <w:sz w:val="32"/>
          <w:szCs w:val="32"/>
          <w:lang w:val="en-US" w:eastAsia="zh-CN"/>
        </w:rPr>
        <w:t>攀枝花</w:t>
      </w:r>
      <w:r>
        <w:rPr>
          <w:rFonts w:hint="default" w:ascii="Times New Roman" w:hAnsi="Times New Roman" w:eastAsia="仿宋_GB2312" w:cs="Times New Roman"/>
          <w:sz w:val="32"/>
          <w:szCs w:val="32"/>
          <w:lang w:val="zh-CN" w:eastAsia="zh-CN"/>
        </w:rPr>
        <w:t>市社会保险事务中心严格按财经纪律、财务管理等相关规定，严格审核，及时支付，专款专用。</w:t>
      </w:r>
    </w:p>
    <w:p w14:paraId="4B12DA28">
      <w:pPr>
        <w:keepNext w:val="0"/>
        <w:keepLines w:val="0"/>
        <w:pageBreakBefore w:val="0"/>
        <w:numPr>
          <w:ilvl w:val="0"/>
          <w:numId w:val="0"/>
        </w:numPr>
        <w:kinsoku/>
        <w:wordWrap/>
        <w:overflowPunct/>
        <w:topLinePunct w:val="0"/>
        <w:autoSpaceDE/>
        <w:autoSpaceDN/>
        <w:bidi w:val="0"/>
        <w:adjustRightInd w:val="0"/>
        <w:snapToGrid w:val="0"/>
        <w:spacing w:line="600" w:lineRule="exact"/>
        <w:ind w:left="720" w:leftChars="0"/>
        <w:textAlignment w:val="auto"/>
        <w:rPr>
          <w:rFonts w:hint="default" w:ascii="Times New Roman" w:hAnsi="Times New Roman" w:cs="Times New Roman"/>
          <w:sz w:val="32"/>
          <w:szCs w:val="32"/>
          <w:lang w:val="zh-CN"/>
        </w:rPr>
      </w:pPr>
      <w:r>
        <w:rPr>
          <w:rFonts w:hint="default" w:ascii="Times New Roman" w:hAnsi="Times New Roman" w:eastAsia="楷体_GB2312" w:cs="Times New Roman"/>
          <w:b/>
          <w:sz w:val="32"/>
          <w:szCs w:val="32"/>
          <w:lang w:val="zh-CN"/>
        </w:rPr>
        <w:t>（三）项目监管情况</w:t>
      </w:r>
    </w:p>
    <w:p w14:paraId="0D7220A6">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攀枝花</w:t>
      </w:r>
      <w:r>
        <w:rPr>
          <w:rFonts w:hint="default" w:ascii="Times New Roman" w:hAnsi="Times New Roman" w:eastAsia="仿宋_GB2312" w:cs="Times New Roman"/>
          <w:sz w:val="32"/>
          <w:szCs w:val="32"/>
          <w:lang w:val="en-US" w:eastAsia="zh-CN"/>
        </w:rPr>
        <w:t>市社会保险事务中心稽核</w:t>
      </w:r>
      <w:r>
        <w:rPr>
          <w:rFonts w:hint="eastAsia" w:ascii="Times New Roman" w:hAnsi="Times New Roman" w:eastAsia="仿宋_GB2312" w:cs="Times New Roman"/>
          <w:sz w:val="32"/>
          <w:szCs w:val="32"/>
          <w:lang w:val="en-US" w:eastAsia="zh-CN"/>
        </w:rPr>
        <w:t>风控</w:t>
      </w:r>
      <w:r>
        <w:rPr>
          <w:rFonts w:hint="default" w:ascii="Times New Roman" w:hAnsi="Times New Roman" w:eastAsia="仿宋_GB2312" w:cs="Times New Roman"/>
          <w:sz w:val="32"/>
          <w:szCs w:val="32"/>
          <w:lang w:val="en-US" w:eastAsia="zh-CN"/>
        </w:rPr>
        <w:t>科成立项目督导检查工作小组，不定期对项目执行进度情况进行督导检查，对检查过程中发现的问题及时督促整改，确保了项目按时保质完成。</w:t>
      </w:r>
    </w:p>
    <w:p w14:paraId="1A0E41B6">
      <w:pPr>
        <w:keepNext w:val="0"/>
        <w:keepLines w:val="0"/>
        <w:pageBreakBefore w:val="0"/>
        <w:kinsoku/>
        <w:wordWrap/>
        <w:overflowPunct/>
        <w:topLinePunct w:val="0"/>
        <w:autoSpaceDE/>
        <w:autoSpaceDN/>
        <w:bidi w:val="0"/>
        <w:adjustRightInd w:val="0"/>
        <w:snapToGrid w:val="0"/>
        <w:spacing w:line="600" w:lineRule="exact"/>
        <w:ind w:firstLine="720"/>
        <w:textAlignment w:val="auto"/>
        <w:rPr>
          <w:rFonts w:hint="default" w:ascii="Times New Roman" w:hAnsi="Times New Roman" w:cs="Times New Roman"/>
          <w:sz w:val="32"/>
          <w:szCs w:val="32"/>
          <w:lang w:val="zh-CN"/>
        </w:rPr>
      </w:pPr>
      <w:r>
        <w:rPr>
          <w:rFonts w:hint="default" w:ascii="Times New Roman" w:hAnsi="Times New Roman" w:eastAsia="黑体" w:cs="Times New Roman"/>
          <w:sz w:val="32"/>
          <w:szCs w:val="32"/>
        </w:rPr>
        <w:t>四、项目绩效情况</w:t>
      </w:r>
      <w:r>
        <w:rPr>
          <w:rFonts w:hint="default" w:ascii="Times New Roman" w:hAnsi="Times New Roman" w:cs="Times New Roman"/>
          <w:sz w:val="32"/>
          <w:szCs w:val="32"/>
          <w:lang w:val="zh-CN"/>
        </w:rPr>
        <w:tab/>
      </w:r>
    </w:p>
    <w:p w14:paraId="2E34B6B7">
      <w:pPr>
        <w:keepNext w:val="0"/>
        <w:keepLines w:val="0"/>
        <w:pageBreakBefore w:val="0"/>
        <w:kinsoku/>
        <w:wordWrap/>
        <w:overflowPunct/>
        <w:topLinePunct w:val="0"/>
        <w:autoSpaceDE/>
        <w:autoSpaceDN/>
        <w:bidi w:val="0"/>
        <w:adjustRightInd w:val="0"/>
        <w:snapToGrid w:val="0"/>
        <w:spacing w:line="600" w:lineRule="exact"/>
        <w:ind w:firstLine="720"/>
        <w:textAlignment w:val="auto"/>
        <w:rPr>
          <w:rFonts w:hint="default" w:ascii="Times New Roman" w:hAnsi="Times New Roman" w:eastAsia="楷体_GB2312" w:cs="Times New Roman"/>
          <w:b/>
          <w:sz w:val="32"/>
          <w:szCs w:val="32"/>
          <w:lang w:val="zh-CN"/>
        </w:rPr>
      </w:pPr>
      <w:r>
        <w:rPr>
          <w:rFonts w:hint="default" w:ascii="Times New Roman" w:hAnsi="Times New Roman" w:eastAsia="楷体_GB2312" w:cs="Times New Roman"/>
          <w:b/>
          <w:sz w:val="32"/>
          <w:szCs w:val="32"/>
          <w:lang w:val="zh-CN"/>
        </w:rPr>
        <w:t>（一）项目完成情况</w:t>
      </w:r>
    </w:p>
    <w:p w14:paraId="501C3F4F">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sz w:val="32"/>
          <w:szCs w:val="32"/>
          <w:lang w:val="zh-CN" w:eastAsia="zh-CN"/>
        </w:rPr>
      </w:pPr>
      <w:r>
        <w:rPr>
          <w:rFonts w:hint="default" w:ascii="Times New Roman" w:hAnsi="Times New Roman" w:eastAsia="仿宋_GB2312" w:cs="Times New Roman"/>
          <w:sz w:val="32"/>
          <w:szCs w:val="32"/>
          <w:lang w:val="en-US" w:eastAsia="zh-CN"/>
        </w:rPr>
        <w:t>“入驻政务中心单位租金、物业费及水电费”项目在当期完成了项目的总体实施，执行率100%。</w:t>
      </w:r>
    </w:p>
    <w:p w14:paraId="6C536A3C">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（1）数量指标：入驻</w:t>
      </w:r>
      <w:r>
        <w:rPr>
          <w:rFonts w:hint="eastAsia" w:ascii="Times New Roman" w:hAnsi="Times New Roman" w:eastAsia="仿宋_GB2312" w:cs="Times New Roman"/>
          <w:sz w:val="32"/>
          <w:szCs w:val="32"/>
          <w:lang w:val="en-US" w:eastAsia="zh-CN"/>
        </w:rPr>
        <w:t>市</w:t>
      </w:r>
      <w:r>
        <w:rPr>
          <w:rFonts w:hint="default" w:ascii="Times New Roman" w:hAnsi="Times New Roman" w:eastAsia="仿宋_GB2312" w:cs="Times New Roman"/>
          <w:sz w:val="32"/>
          <w:szCs w:val="32"/>
          <w:lang w:val="en-US" w:eastAsia="zh-CN"/>
        </w:rPr>
        <w:t>政务中心单位租金、物业费及水电费797876.4元/年。</w:t>
      </w:r>
    </w:p>
    <w:p w14:paraId="1498BB19">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（2）质量指标：按时全额缴纳。</w:t>
      </w:r>
    </w:p>
    <w:p w14:paraId="7E3D057E">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（3）时效指标：1年内完成。</w:t>
      </w:r>
    </w:p>
    <w:p w14:paraId="35C69C4B">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（4）成本指标：入驻</w:t>
      </w:r>
      <w:r>
        <w:rPr>
          <w:rFonts w:hint="eastAsia" w:ascii="Times New Roman" w:hAnsi="Times New Roman" w:eastAsia="仿宋_GB2312" w:cs="Times New Roman"/>
          <w:sz w:val="32"/>
          <w:szCs w:val="32"/>
          <w:lang w:val="en-US" w:eastAsia="zh-CN"/>
        </w:rPr>
        <w:t>市</w:t>
      </w:r>
      <w:r>
        <w:rPr>
          <w:rFonts w:hint="default" w:ascii="Times New Roman" w:hAnsi="Times New Roman" w:eastAsia="仿宋_GB2312" w:cs="Times New Roman"/>
          <w:sz w:val="32"/>
          <w:szCs w:val="32"/>
          <w:lang w:val="en-US" w:eastAsia="zh-CN"/>
        </w:rPr>
        <w:t>政务中心单位租金、物业费及水电费797876.4元/年。</w:t>
      </w:r>
    </w:p>
    <w:p w14:paraId="78C082B5">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（5）社会效益指标：保障单位正常运转。</w:t>
      </w:r>
    </w:p>
    <w:p w14:paraId="00FC4BDE">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（6）满意度指标：物业公司满意度达到满意。</w:t>
      </w:r>
    </w:p>
    <w:p w14:paraId="1809DE93">
      <w:pPr>
        <w:keepNext w:val="0"/>
        <w:keepLines w:val="0"/>
        <w:pageBreakBefore w:val="0"/>
        <w:kinsoku/>
        <w:wordWrap/>
        <w:overflowPunct/>
        <w:topLinePunct w:val="0"/>
        <w:autoSpaceDE/>
        <w:autoSpaceDN/>
        <w:bidi w:val="0"/>
        <w:adjustRightInd w:val="0"/>
        <w:snapToGrid w:val="0"/>
        <w:spacing w:line="600" w:lineRule="exact"/>
        <w:ind w:firstLine="720"/>
        <w:textAlignment w:val="auto"/>
        <w:rPr>
          <w:rFonts w:hint="default" w:ascii="Times New Roman" w:hAnsi="Times New Roman" w:eastAsia="楷体_GB2312" w:cs="Times New Roman"/>
          <w:b/>
          <w:sz w:val="32"/>
          <w:szCs w:val="32"/>
          <w:lang w:val="zh-CN"/>
        </w:rPr>
      </w:pPr>
      <w:r>
        <w:rPr>
          <w:rFonts w:hint="default" w:ascii="Times New Roman" w:hAnsi="Times New Roman" w:eastAsia="楷体_GB2312" w:cs="Times New Roman"/>
          <w:b/>
          <w:sz w:val="32"/>
          <w:szCs w:val="32"/>
          <w:lang w:val="zh-CN"/>
        </w:rPr>
        <w:t>（二）项目效益情况</w:t>
      </w:r>
    </w:p>
    <w:p w14:paraId="295BCD90">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sz w:val="32"/>
          <w:szCs w:val="32"/>
          <w:lang w:val="zh-CN" w:eastAsia="zh-CN"/>
        </w:rPr>
      </w:pPr>
      <w:r>
        <w:rPr>
          <w:rFonts w:hint="default" w:ascii="Times New Roman" w:hAnsi="Times New Roman" w:eastAsia="仿宋_GB2312" w:cs="Times New Roman"/>
          <w:sz w:val="32"/>
          <w:szCs w:val="32"/>
          <w:lang w:val="en-US" w:eastAsia="zh-CN"/>
        </w:rPr>
        <w:t xml:space="preserve">通过 </w:t>
      </w:r>
      <w:r>
        <w:rPr>
          <w:rFonts w:hint="default" w:ascii="Times New Roman" w:hAnsi="Times New Roman" w:eastAsia="仿宋_GB2312" w:cs="Times New Roman"/>
          <w:sz w:val="32"/>
          <w:szCs w:val="32"/>
          <w:lang w:val="zh-CN"/>
        </w:rPr>
        <w:t>“入驻政务中心单位租金、物业费及水电费”</w:t>
      </w:r>
      <w:r>
        <w:rPr>
          <w:rFonts w:hint="default" w:ascii="Times New Roman" w:hAnsi="Times New Roman" w:eastAsia="仿宋_GB2312" w:cs="Times New Roman"/>
          <w:sz w:val="32"/>
          <w:szCs w:val="32"/>
          <w:lang w:val="zh-CN" w:eastAsia="zh-CN"/>
        </w:rPr>
        <w:t>项目</w:t>
      </w:r>
      <w:r>
        <w:rPr>
          <w:rFonts w:hint="default" w:ascii="Times New Roman" w:hAnsi="Times New Roman" w:eastAsia="仿宋_GB2312" w:cs="Times New Roman"/>
          <w:sz w:val="32"/>
          <w:szCs w:val="32"/>
          <w:lang w:val="zh-CN"/>
        </w:rPr>
        <w:t>，</w:t>
      </w:r>
      <w:r>
        <w:rPr>
          <w:rFonts w:hint="default" w:ascii="Times New Roman" w:hAnsi="Times New Roman" w:eastAsia="仿宋_GB2312" w:cs="Times New Roman"/>
          <w:sz w:val="32"/>
          <w:szCs w:val="32"/>
          <w:lang w:val="zh-CN" w:eastAsia="zh-CN"/>
        </w:rPr>
        <w:t>保障了单位正常运转，能更换的</w:t>
      </w:r>
      <w:r>
        <w:rPr>
          <w:rFonts w:hint="default" w:ascii="Times New Roman" w:hAnsi="Times New Roman" w:eastAsia="仿宋_GB2312" w:cs="Times New Roman"/>
          <w:sz w:val="32"/>
          <w:szCs w:val="32"/>
          <w:lang w:val="en-US" w:eastAsia="zh-CN"/>
        </w:rPr>
        <w:t>为参保人员提供社保服务</w:t>
      </w:r>
      <w:r>
        <w:rPr>
          <w:rFonts w:hint="default" w:ascii="Times New Roman" w:hAnsi="Times New Roman" w:eastAsia="仿宋_GB2312" w:cs="Times New Roman"/>
          <w:sz w:val="32"/>
          <w:szCs w:val="32"/>
          <w:lang w:val="zh-CN" w:eastAsia="zh-CN"/>
        </w:rPr>
        <w:t>。</w:t>
      </w:r>
    </w:p>
    <w:p w14:paraId="4A66BE3C">
      <w:pPr>
        <w:keepNext w:val="0"/>
        <w:keepLines w:val="0"/>
        <w:pageBreakBefore w:val="0"/>
        <w:kinsoku/>
        <w:wordWrap/>
        <w:overflowPunct/>
        <w:topLinePunct w:val="0"/>
        <w:autoSpaceDE/>
        <w:autoSpaceDN/>
        <w:bidi w:val="0"/>
        <w:adjustRightInd w:val="0"/>
        <w:snapToGrid w:val="0"/>
        <w:spacing w:line="600" w:lineRule="exact"/>
        <w:ind w:firstLine="72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五、评价结论及建议</w:t>
      </w:r>
    </w:p>
    <w:p w14:paraId="0AD2235E">
      <w:pPr>
        <w:keepNext w:val="0"/>
        <w:keepLines w:val="0"/>
        <w:pageBreakBefore w:val="0"/>
        <w:kinsoku/>
        <w:wordWrap/>
        <w:overflowPunct/>
        <w:topLinePunct w:val="0"/>
        <w:autoSpaceDE/>
        <w:autoSpaceDN/>
        <w:bidi w:val="0"/>
        <w:adjustRightInd w:val="0"/>
        <w:snapToGrid w:val="0"/>
        <w:spacing w:line="600" w:lineRule="exact"/>
        <w:ind w:firstLine="720"/>
        <w:textAlignment w:val="auto"/>
        <w:rPr>
          <w:rFonts w:hint="default" w:ascii="Times New Roman" w:hAnsi="Times New Roman" w:eastAsia="楷体_GB2312" w:cs="Times New Roman"/>
          <w:b/>
          <w:sz w:val="32"/>
          <w:szCs w:val="32"/>
          <w:lang w:val="zh-CN"/>
        </w:rPr>
      </w:pPr>
      <w:r>
        <w:rPr>
          <w:rFonts w:hint="default" w:ascii="Times New Roman" w:hAnsi="Times New Roman" w:eastAsia="楷体_GB2312" w:cs="Times New Roman"/>
          <w:b/>
          <w:sz w:val="32"/>
          <w:szCs w:val="32"/>
          <w:lang w:val="zh-CN"/>
        </w:rPr>
        <w:t>（一）评价结论</w:t>
      </w:r>
    </w:p>
    <w:p w14:paraId="27D33CAB">
      <w:pPr>
        <w:keepNext w:val="0"/>
        <w:keepLines w:val="0"/>
        <w:pageBreakBefore w:val="0"/>
        <w:kinsoku/>
        <w:wordWrap/>
        <w:overflowPunct/>
        <w:topLinePunct w:val="0"/>
        <w:autoSpaceDE/>
        <w:autoSpaceDN/>
        <w:bidi w:val="0"/>
        <w:adjustRightInd w:val="0"/>
        <w:snapToGrid w:val="0"/>
        <w:spacing w:line="600" w:lineRule="exact"/>
        <w:ind w:firstLine="720"/>
        <w:textAlignment w:val="auto"/>
        <w:rPr>
          <w:rFonts w:hint="default" w:ascii="Times New Roman" w:hAnsi="Times New Roman" w:eastAsia="仿宋_GB2312" w:cs="Times New Roman"/>
          <w:kern w:val="0"/>
          <w:sz w:val="32"/>
          <w:szCs w:val="32"/>
          <w:lang w:val="zh-CN"/>
        </w:rPr>
      </w:pPr>
      <w:r>
        <w:rPr>
          <w:rFonts w:hint="default" w:ascii="Times New Roman" w:hAnsi="Times New Roman" w:eastAsia="仿宋_GB2312" w:cs="Times New Roman"/>
          <w:kern w:val="0"/>
          <w:sz w:val="32"/>
          <w:szCs w:val="32"/>
        </w:rPr>
        <w:t>“入驻政务中心单位租金、物业费及水电费”</w:t>
      </w:r>
      <w:r>
        <w:rPr>
          <w:rFonts w:hint="default" w:ascii="Times New Roman" w:hAnsi="Times New Roman" w:cs="Times New Roman"/>
          <w:sz w:val="32"/>
          <w:szCs w:val="32"/>
          <w:lang w:val="zh-CN"/>
        </w:rPr>
        <w:t>项目</w:t>
      </w:r>
      <w:r>
        <w:rPr>
          <w:rFonts w:hint="default" w:ascii="Times New Roman" w:hAnsi="Times New Roman" w:eastAsia="仿宋_GB2312" w:cs="Times New Roman"/>
          <w:sz w:val="32"/>
          <w:szCs w:val="32"/>
        </w:rPr>
        <w:t>在当期完成了</w:t>
      </w:r>
      <w:r>
        <w:rPr>
          <w:rFonts w:hint="default" w:ascii="Times New Roman" w:hAnsi="Times New Roman" w:eastAsia="仿宋_GB2312" w:cs="Times New Roman"/>
          <w:kern w:val="0"/>
          <w:sz w:val="32"/>
          <w:szCs w:val="32"/>
          <w:lang w:eastAsia="zh-CN"/>
        </w:rPr>
        <w:t>全部缴纳</w:t>
      </w:r>
      <w:r>
        <w:rPr>
          <w:rFonts w:hint="default" w:ascii="Times New Roman" w:hAnsi="Times New Roman" w:eastAsia="仿宋_GB2312" w:cs="Times New Roman"/>
          <w:kern w:val="0"/>
          <w:sz w:val="32"/>
          <w:szCs w:val="32"/>
        </w:rPr>
        <w:t>，执行率100%。保障了</w:t>
      </w:r>
      <w:r>
        <w:rPr>
          <w:rFonts w:hint="eastAsia" w:ascii="Times New Roman" w:hAnsi="Times New Roman" w:eastAsia="仿宋_GB2312" w:cs="Times New Roman"/>
          <w:kern w:val="0"/>
          <w:sz w:val="32"/>
          <w:szCs w:val="32"/>
          <w:lang w:val="en-US" w:eastAsia="zh-CN"/>
        </w:rPr>
        <w:t>攀枝花</w:t>
      </w:r>
      <w:r>
        <w:rPr>
          <w:rFonts w:hint="default" w:ascii="Times New Roman" w:hAnsi="Times New Roman" w:eastAsia="仿宋_GB2312" w:cs="Times New Roman"/>
          <w:kern w:val="0"/>
          <w:sz w:val="32"/>
          <w:szCs w:val="32"/>
        </w:rPr>
        <w:t>市社会保险事务中心</w:t>
      </w:r>
      <w:r>
        <w:rPr>
          <w:rFonts w:hint="default" w:ascii="Times New Roman" w:hAnsi="Times New Roman" w:eastAsia="仿宋_GB2312" w:cs="Times New Roman"/>
          <w:kern w:val="0"/>
          <w:sz w:val="32"/>
          <w:szCs w:val="32"/>
          <w:lang w:eastAsia="zh-CN"/>
        </w:rPr>
        <w:t>工作正常开展</w:t>
      </w:r>
      <w:r>
        <w:rPr>
          <w:rFonts w:hint="default" w:ascii="Times New Roman" w:hAnsi="Times New Roman" w:eastAsia="仿宋_GB2312" w:cs="Times New Roman"/>
          <w:kern w:val="0"/>
          <w:sz w:val="32"/>
          <w:szCs w:val="32"/>
          <w:lang w:val="zh-CN"/>
        </w:rPr>
        <w:t>。</w:t>
      </w:r>
    </w:p>
    <w:p w14:paraId="23D5E3B6">
      <w:pPr>
        <w:keepNext w:val="0"/>
        <w:keepLines w:val="0"/>
        <w:pageBreakBefore w:val="0"/>
        <w:kinsoku/>
        <w:wordWrap/>
        <w:overflowPunct/>
        <w:topLinePunct w:val="0"/>
        <w:autoSpaceDE/>
        <w:autoSpaceDN/>
        <w:bidi w:val="0"/>
        <w:adjustRightInd w:val="0"/>
        <w:snapToGrid w:val="0"/>
        <w:spacing w:line="600" w:lineRule="exact"/>
        <w:ind w:firstLine="720"/>
        <w:textAlignment w:val="auto"/>
        <w:rPr>
          <w:rFonts w:hint="default" w:ascii="Times New Roman" w:hAnsi="Times New Roman" w:eastAsia="楷体_GB2312" w:cs="Times New Roman"/>
          <w:b/>
          <w:sz w:val="32"/>
          <w:szCs w:val="32"/>
          <w:lang w:val="zh-CN"/>
        </w:rPr>
      </w:pPr>
      <w:r>
        <w:rPr>
          <w:rFonts w:hint="default" w:ascii="Times New Roman" w:hAnsi="Times New Roman" w:eastAsia="楷体_GB2312" w:cs="Times New Roman"/>
          <w:b/>
          <w:sz w:val="32"/>
          <w:szCs w:val="32"/>
          <w:lang w:val="zh-CN"/>
        </w:rPr>
        <w:t>（二）存在的问题</w:t>
      </w:r>
    </w:p>
    <w:p w14:paraId="3C208707">
      <w:pPr>
        <w:keepNext w:val="0"/>
        <w:keepLines w:val="0"/>
        <w:pageBreakBefore w:val="0"/>
        <w:kinsoku/>
        <w:wordWrap/>
        <w:overflowPunct/>
        <w:topLinePunct w:val="0"/>
        <w:autoSpaceDE/>
        <w:autoSpaceDN/>
        <w:bidi w:val="0"/>
        <w:spacing w:line="600" w:lineRule="exact"/>
        <w:ind w:firstLine="960" w:firstLineChars="300"/>
        <w:textAlignment w:val="auto"/>
        <w:rPr>
          <w:rFonts w:hint="default" w:ascii="Times New Roman" w:hAnsi="Times New Roman" w:eastAsia="仿宋_GB2312" w:cs="Times New Roman"/>
          <w:sz w:val="32"/>
          <w:szCs w:val="32"/>
          <w:lang w:val="zh-CN"/>
        </w:rPr>
      </w:pPr>
      <w:r>
        <w:rPr>
          <w:rFonts w:hint="default" w:ascii="Times New Roman" w:hAnsi="Times New Roman" w:eastAsia="仿宋_GB2312" w:cs="Times New Roman"/>
          <w:sz w:val="32"/>
          <w:szCs w:val="32"/>
          <w:lang w:val="zh-CN"/>
        </w:rPr>
        <w:t>无。</w:t>
      </w:r>
    </w:p>
    <w:p w14:paraId="53655A48">
      <w:pPr>
        <w:keepNext w:val="0"/>
        <w:keepLines w:val="0"/>
        <w:pageBreakBefore w:val="0"/>
        <w:kinsoku/>
        <w:wordWrap/>
        <w:overflowPunct/>
        <w:topLinePunct w:val="0"/>
        <w:autoSpaceDE/>
        <w:autoSpaceDN/>
        <w:bidi w:val="0"/>
        <w:adjustRightInd w:val="0"/>
        <w:snapToGrid w:val="0"/>
        <w:spacing w:line="600" w:lineRule="exact"/>
        <w:ind w:firstLine="720"/>
        <w:textAlignment w:val="auto"/>
        <w:rPr>
          <w:rFonts w:hint="default" w:ascii="Times New Roman" w:hAnsi="Times New Roman" w:eastAsia="楷体_GB2312" w:cs="Times New Roman"/>
          <w:b/>
          <w:sz w:val="32"/>
          <w:szCs w:val="32"/>
          <w:lang w:val="zh-CN"/>
        </w:rPr>
      </w:pPr>
      <w:r>
        <w:rPr>
          <w:rFonts w:hint="default" w:ascii="Times New Roman" w:hAnsi="Times New Roman" w:eastAsia="楷体_GB2312" w:cs="Times New Roman"/>
          <w:b/>
          <w:sz w:val="32"/>
          <w:szCs w:val="32"/>
          <w:lang w:val="zh-CN"/>
        </w:rPr>
        <w:t>（三）相关建议</w:t>
      </w:r>
    </w:p>
    <w:p w14:paraId="656E3332">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cs="Times New Roman"/>
          <w:sz w:val="32"/>
          <w:szCs w:val="32"/>
        </w:rPr>
      </w:pPr>
      <w:r>
        <w:rPr>
          <w:rFonts w:hint="default" w:ascii="Times New Roman" w:hAnsi="Times New Roman" w:eastAsia="仿宋_GB2312" w:cs="Times New Roman"/>
          <w:sz w:val="32"/>
          <w:szCs w:val="32"/>
        </w:rPr>
        <w:t>强化预算资金精细化管理，提高预算资金科学性、合理性。严格根据相关标准和依据，进行资金使用，确保资金使用效益。</w:t>
      </w:r>
    </w:p>
    <w:p w14:paraId="0E993BF6">
      <w:pPr>
        <w:pStyle w:val="5"/>
        <w:keepNext w:val="0"/>
        <w:keepLines w:val="0"/>
        <w:pageBreakBefore w:val="0"/>
        <w:kinsoku/>
        <w:wordWrap/>
        <w:overflowPunct/>
        <w:topLinePunct w:val="0"/>
        <w:autoSpaceDE/>
        <w:autoSpaceDN/>
        <w:bidi w:val="0"/>
        <w:spacing w:beforeLines="0" w:line="600" w:lineRule="exact"/>
        <w:textAlignment w:val="auto"/>
        <w:rPr>
          <w:rFonts w:hint="default" w:ascii="Times New Roman" w:hAnsi="Times New Roman" w:eastAsia="黑体" w:cs="Times New Roman"/>
          <w:color w:val="auto"/>
          <w:kern w:val="0"/>
          <w:sz w:val="32"/>
          <w:szCs w:val="32"/>
          <w:highlight w:val="none"/>
          <w:shd w:val="clear" w:color="auto" w:fill="FFFFFF"/>
          <w:lang w:val="en-US" w:eastAsia="zh-CN"/>
        </w:rPr>
      </w:pPr>
    </w:p>
    <w:p w14:paraId="60DED1C4">
      <w:pPr>
        <w:pStyle w:val="5"/>
        <w:keepNext w:val="0"/>
        <w:keepLines w:val="0"/>
        <w:pageBreakBefore w:val="0"/>
        <w:kinsoku/>
        <w:wordWrap/>
        <w:overflowPunct/>
        <w:topLinePunct w:val="0"/>
        <w:autoSpaceDE/>
        <w:autoSpaceDN/>
        <w:bidi w:val="0"/>
        <w:spacing w:beforeLines="0" w:line="600" w:lineRule="exact"/>
        <w:textAlignment w:val="auto"/>
        <w:rPr>
          <w:rFonts w:hint="default" w:ascii="Times New Roman" w:hAnsi="Times New Roman" w:eastAsia="黑体" w:cs="Times New Roman"/>
          <w:color w:val="auto"/>
          <w:kern w:val="0"/>
          <w:sz w:val="32"/>
          <w:szCs w:val="32"/>
          <w:highlight w:val="none"/>
          <w:shd w:val="clear" w:color="auto" w:fill="FFFFFF"/>
          <w:lang w:val="en-US" w:eastAsia="zh-CN"/>
        </w:rPr>
      </w:pPr>
    </w:p>
    <w:p w14:paraId="38D9DEAA">
      <w:pPr>
        <w:pStyle w:val="5"/>
        <w:keepNext w:val="0"/>
        <w:keepLines w:val="0"/>
        <w:pageBreakBefore w:val="0"/>
        <w:kinsoku/>
        <w:wordWrap/>
        <w:overflowPunct/>
        <w:topLinePunct w:val="0"/>
        <w:autoSpaceDE/>
        <w:autoSpaceDN/>
        <w:bidi w:val="0"/>
        <w:spacing w:beforeLines="0" w:line="600" w:lineRule="exact"/>
        <w:textAlignment w:val="auto"/>
        <w:rPr>
          <w:rFonts w:hint="default" w:ascii="Times New Roman" w:hAnsi="Times New Roman" w:eastAsia="黑体" w:cs="Times New Roman"/>
          <w:color w:val="auto"/>
          <w:kern w:val="0"/>
          <w:sz w:val="32"/>
          <w:szCs w:val="32"/>
          <w:highlight w:val="none"/>
          <w:shd w:val="clear" w:color="auto" w:fill="FFFFFF"/>
          <w:lang w:val="en-US" w:eastAsia="zh-CN"/>
        </w:rPr>
      </w:pPr>
    </w:p>
    <w:p w14:paraId="67E8CE5C">
      <w:pPr>
        <w:pStyle w:val="5"/>
        <w:keepNext w:val="0"/>
        <w:keepLines w:val="0"/>
        <w:pageBreakBefore w:val="0"/>
        <w:kinsoku/>
        <w:wordWrap/>
        <w:overflowPunct/>
        <w:topLinePunct w:val="0"/>
        <w:autoSpaceDE/>
        <w:autoSpaceDN/>
        <w:bidi w:val="0"/>
        <w:spacing w:beforeLines="0" w:line="600" w:lineRule="exact"/>
        <w:textAlignment w:val="auto"/>
        <w:rPr>
          <w:rFonts w:hint="default" w:ascii="Times New Roman" w:hAnsi="Times New Roman" w:eastAsia="黑体" w:cs="Times New Roman"/>
          <w:color w:val="auto"/>
          <w:kern w:val="0"/>
          <w:sz w:val="32"/>
          <w:szCs w:val="32"/>
          <w:highlight w:val="none"/>
          <w:shd w:val="clear" w:color="auto" w:fill="FFFFFF"/>
          <w:lang w:val="en-US" w:eastAsia="zh-CN"/>
        </w:rPr>
      </w:pPr>
    </w:p>
    <w:p w14:paraId="27B0D0C9">
      <w:pPr>
        <w:pStyle w:val="5"/>
        <w:rPr>
          <w:rFonts w:hint="default" w:ascii="Times New Roman" w:hAnsi="Times New Roman" w:eastAsia="黑体" w:cs="Times New Roman"/>
          <w:color w:val="auto"/>
          <w:kern w:val="0"/>
          <w:sz w:val="32"/>
          <w:szCs w:val="32"/>
          <w:highlight w:val="none"/>
          <w:shd w:val="clear" w:color="auto" w:fill="FFFFFF"/>
          <w:lang w:val="en-US" w:eastAsia="zh-CN"/>
        </w:rPr>
      </w:pPr>
      <w:r>
        <w:rPr>
          <w:rFonts w:hint="default" w:ascii="Times New Roman" w:hAnsi="Times New Roman" w:eastAsia="黑体" w:cs="Times New Roman"/>
          <w:color w:val="auto"/>
          <w:kern w:val="0"/>
          <w:sz w:val="32"/>
          <w:szCs w:val="32"/>
          <w:highlight w:val="none"/>
          <w:shd w:val="clear" w:color="auto" w:fill="FFFFFF"/>
          <w:lang w:val="zh-CN"/>
        </w:rPr>
        <w:t>附件</w:t>
      </w:r>
      <w:r>
        <w:rPr>
          <w:rFonts w:hint="eastAsia" w:ascii="Times New Roman" w:eastAsia="黑体" w:cs="Times New Roman"/>
          <w:color w:val="auto"/>
          <w:kern w:val="0"/>
          <w:sz w:val="32"/>
          <w:szCs w:val="32"/>
          <w:highlight w:val="none"/>
          <w:shd w:val="clear" w:color="auto" w:fill="FFFFFF"/>
          <w:lang w:val="en-US" w:eastAsia="zh-CN"/>
        </w:rPr>
        <w:t>3</w:t>
      </w:r>
    </w:p>
    <w:p w14:paraId="0FDF8107">
      <w:pPr>
        <w:pStyle w:val="37"/>
        <w:spacing w:line="600" w:lineRule="exact"/>
        <w:jc w:val="center"/>
        <w:rPr>
          <w:rFonts w:hint="default" w:ascii="Times New Roman" w:hAnsi="Times New Roman" w:eastAsia="方正小标宋简体" w:cs="Times New Roman"/>
          <w:color w:val="auto"/>
          <w:kern w:val="2"/>
          <w:sz w:val="40"/>
          <w:szCs w:val="40"/>
        </w:rPr>
      </w:pPr>
    </w:p>
    <w:p w14:paraId="2DA3119D">
      <w:pPr>
        <w:pStyle w:val="37"/>
        <w:spacing w:line="600" w:lineRule="exact"/>
        <w:jc w:val="center"/>
        <w:rPr>
          <w:rFonts w:hint="eastAsia" w:ascii="方正小标宋_GBK" w:hAnsi="方正小标宋_GBK" w:eastAsia="方正小标宋_GBK" w:cs="方正小标宋_GBK"/>
          <w:color w:val="auto"/>
          <w:kern w:val="2"/>
          <w:sz w:val="44"/>
          <w:szCs w:val="44"/>
        </w:rPr>
      </w:pPr>
      <w:r>
        <w:rPr>
          <w:rFonts w:hint="eastAsia" w:ascii="方正小标宋_GBK" w:hAnsi="方正小标宋_GBK" w:eastAsia="方正小标宋_GBK" w:cs="方正小标宋_GBK"/>
          <w:color w:val="auto"/>
          <w:kern w:val="2"/>
          <w:sz w:val="44"/>
          <w:szCs w:val="44"/>
        </w:rPr>
        <w:t>攀枝花市社会保险事务中心</w:t>
      </w:r>
    </w:p>
    <w:p w14:paraId="2EF412C4">
      <w:pPr>
        <w:pStyle w:val="37"/>
        <w:spacing w:line="600" w:lineRule="exact"/>
        <w:jc w:val="center"/>
        <w:rPr>
          <w:rFonts w:hint="eastAsia" w:ascii="方正小标宋_GBK" w:hAnsi="方正小标宋_GBK" w:eastAsia="方正小标宋_GBK" w:cs="方正小标宋_GBK"/>
          <w:color w:val="auto"/>
          <w:kern w:val="2"/>
          <w:sz w:val="44"/>
          <w:szCs w:val="44"/>
          <w:lang w:val="en-US"/>
        </w:rPr>
      </w:pPr>
      <w:r>
        <w:rPr>
          <w:rFonts w:hint="eastAsia" w:ascii="方正小标宋_GBK" w:hAnsi="方正小标宋_GBK" w:eastAsia="方正小标宋_GBK" w:cs="方正小标宋_GBK"/>
          <w:color w:val="auto"/>
          <w:kern w:val="2"/>
          <w:sz w:val="44"/>
          <w:szCs w:val="44"/>
          <w:lang w:val="en-US"/>
        </w:rPr>
        <w:t>202</w:t>
      </w:r>
      <w:r>
        <w:rPr>
          <w:rFonts w:hint="eastAsia" w:ascii="方正小标宋_GBK" w:hAnsi="方正小标宋_GBK" w:eastAsia="方正小标宋_GBK" w:cs="方正小标宋_GBK"/>
          <w:color w:val="auto"/>
          <w:kern w:val="2"/>
          <w:sz w:val="44"/>
          <w:szCs w:val="44"/>
          <w:lang w:val="en-US" w:eastAsia="zh-CN"/>
        </w:rPr>
        <w:t>4</w:t>
      </w:r>
      <w:r>
        <w:rPr>
          <w:rFonts w:hint="eastAsia" w:ascii="方正小标宋_GBK" w:hAnsi="方正小标宋_GBK" w:eastAsia="方正小标宋_GBK" w:cs="方正小标宋_GBK"/>
          <w:color w:val="auto"/>
          <w:kern w:val="2"/>
          <w:sz w:val="44"/>
          <w:szCs w:val="44"/>
          <w:lang w:val="en-US"/>
        </w:rPr>
        <w:t>年</w:t>
      </w:r>
      <w:r>
        <w:rPr>
          <w:rFonts w:hint="eastAsia" w:ascii="方正小标宋_GBK" w:hAnsi="方正小标宋_GBK" w:eastAsia="方正小标宋_GBK" w:cs="方正小标宋_GBK"/>
          <w:color w:val="auto"/>
          <w:kern w:val="2"/>
          <w:sz w:val="44"/>
          <w:szCs w:val="44"/>
          <w:lang w:val="en-US" w:eastAsia="zh-CN"/>
        </w:rPr>
        <w:t>省级</w:t>
      </w:r>
      <w:r>
        <w:rPr>
          <w:rFonts w:hint="eastAsia" w:ascii="方正小标宋_GBK" w:hAnsi="方正小标宋_GBK" w:eastAsia="方正小标宋_GBK" w:cs="方正小标宋_GBK"/>
          <w:color w:val="auto"/>
          <w:kern w:val="2"/>
          <w:sz w:val="44"/>
          <w:szCs w:val="44"/>
        </w:rPr>
        <w:t>社保公共服务能力建设资金</w:t>
      </w:r>
    </w:p>
    <w:p w14:paraId="4CBD6F27">
      <w:pPr>
        <w:pStyle w:val="37"/>
        <w:spacing w:line="600" w:lineRule="exact"/>
        <w:jc w:val="center"/>
        <w:rPr>
          <w:rFonts w:hint="eastAsia" w:ascii="方正小标宋_GBK" w:hAnsi="方正小标宋_GBK" w:eastAsia="方正小标宋_GBK" w:cs="方正小标宋_GBK"/>
          <w:color w:val="auto"/>
          <w:kern w:val="2"/>
          <w:sz w:val="44"/>
          <w:szCs w:val="44"/>
        </w:rPr>
      </w:pPr>
      <w:r>
        <w:rPr>
          <w:rFonts w:hint="eastAsia" w:ascii="方正小标宋_GBK" w:hAnsi="方正小标宋_GBK" w:eastAsia="方正小标宋_GBK" w:cs="方正小标宋_GBK"/>
          <w:color w:val="auto"/>
          <w:kern w:val="2"/>
          <w:sz w:val="44"/>
          <w:szCs w:val="44"/>
        </w:rPr>
        <w:t>专项预算项目支出绩效自评报告</w:t>
      </w:r>
    </w:p>
    <w:p w14:paraId="30952D9C">
      <w:pPr>
        <w:pStyle w:val="37"/>
        <w:spacing w:line="600" w:lineRule="exact"/>
        <w:ind w:firstLine="640"/>
        <w:jc w:val="center"/>
        <w:rPr>
          <w:rFonts w:hint="default" w:ascii="Times New Roman" w:hAnsi="Times New Roman" w:cs="Times New Roman"/>
          <w:color w:val="auto"/>
          <w:kern w:val="2"/>
          <w:sz w:val="32"/>
          <w:szCs w:val="32"/>
        </w:rPr>
      </w:pPr>
    </w:p>
    <w:p w14:paraId="310C0047">
      <w:pPr>
        <w:keepNext w:val="0"/>
        <w:keepLines w:val="0"/>
        <w:pageBreakBefore w:val="0"/>
        <w:kinsoku/>
        <w:wordWrap/>
        <w:overflowPunct/>
        <w:topLinePunct w:val="0"/>
        <w:autoSpaceDE/>
        <w:autoSpaceDN/>
        <w:bidi w:val="0"/>
        <w:adjustRightInd w:val="0"/>
        <w:snapToGrid w:val="0"/>
        <w:spacing w:line="600" w:lineRule="exact"/>
        <w:ind w:firstLine="720"/>
        <w:textAlignment w:val="auto"/>
        <w:rPr>
          <w:rFonts w:hint="default" w:ascii="Times New Roman" w:hAnsi="Times New Roman" w:eastAsia="黑体" w:cs="Times New Roman"/>
          <w:sz w:val="32"/>
          <w:szCs w:val="32"/>
          <w:lang w:val="zh-CN"/>
        </w:rPr>
      </w:pPr>
      <w:r>
        <w:rPr>
          <w:rFonts w:hint="default" w:ascii="Times New Roman" w:hAnsi="Times New Roman" w:eastAsia="黑体" w:cs="Times New Roman"/>
          <w:sz w:val="32"/>
          <w:szCs w:val="32"/>
        </w:rPr>
        <w:t>一、</w:t>
      </w:r>
      <w:r>
        <w:rPr>
          <w:rFonts w:hint="default" w:ascii="Times New Roman" w:hAnsi="Times New Roman" w:eastAsia="黑体" w:cs="Times New Roman"/>
          <w:sz w:val="32"/>
          <w:szCs w:val="32"/>
          <w:lang w:val="zh-CN"/>
        </w:rPr>
        <w:t>项目概况</w:t>
      </w:r>
    </w:p>
    <w:p w14:paraId="5E27B5F1">
      <w:pPr>
        <w:keepNext w:val="0"/>
        <w:keepLines w:val="0"/>
        <w:pageBreakBefore w:val="0"/>
        <w:kinsoku/>
        <w:wordWrap/>
        <w:overflowPunct/>
        <w:topLinePunct w:val="0"/>
        <w:autoSpaceDE/>
        <w:autoSpaceDN/>
        <w:bidi w:val="0"/>
        <w:adjustRightInd w:val="0"/>
        <w:snapToGrid w:val="0"/>
        <w:spacing w:line="600" w:lineRule="exact"/>
        <w:ind w:firstLine="720"/>
        <w:textAlignment w:val="auto"/>
        <w:rPr>
          <w:rFonts w:hint="default" w:ascii="Times New Roman" w:hAnsi="Times New Roman" w:eastAsia="楷体_GB2312" w:cs="Times New Roman"/>
          <w:b/>
          <w:sz w:val="32"/>
          <w:szCs w:val="32"/>
          <w:lang w:val="zh-CN"/>
        </w:rPr>
      </w:pPr>
      <w:r>
        <w:rPr>
          <w:rFonts w:hint="default" w:ascii="Times New Roman" w:hAnsi="Times New Roman" w:eastAsia="楷体_GB2312" w:cs="Times New Roman"/>
          <w:b/>
          <w:sz w:val="32"/>
          <w:szCs w:val="32"/>
          <w:lang w:val="zh-CN"/>
        </w:rPr>
        <w:t>（一）项目基本情况</w:t>
      </w:r>
    </w:p>
    <w:p w14:paraId="48831D76">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sz w:val="32"/>
          <w:szCs w:val="32"/>
          <w:lang w:val="zh-CN"/>
        </w:rPr>
      </w:pPr>
      <w:r>
        <w:rPr>
          <w:rFonts w:hint="eastAsia" w:eastAsia="仿宋_GB2312" w:cs="Times New Roman"/>
          <w:sz w:val="32"/>
          <w:szCs w:val="32"/>
          <w:lang w:val="en-US" w:eastAsia="zh-CN"/>
        </w:rPr>
        <w:t>1.</w:t>
      </w:r>
      <w:r>
        <w:rPr>
          <w:rFonts w:hint="default" w:ascii="Times New Roman" w:hAnsi="Times New Roman" w:eastAsia="仿宋_GB2312" w:cs="Times New Roman"/>
          <w:sz w:val="32"/>
          <w:szCs w:val="32"/>
          <w:lang w:val="zh-CN"/>
        </w:rPr>
        <w:t>说明项目单位在该项目管理中的职能。</w:t>
      </w:r>
    </w:p>
    <w:p w14:paraId="5FCD7A7E">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攀枝花市社会保险事务中心是“社保公共服务能力建设资金”项目的实施主体，负责项目的实施、监督、管理等工作。</w:t>
      </w:r>
      <w:r>
        <w:rPr>
          <w:rFonts w:hint="default" w:ascii="Times New Roman" w:hAnsi="Times New Roman" w:eastAsia="仿宋_GB2312" w:cs="Times New Roman"/>
          <w:sz w:val="32"/>
          <w:szCs w:val="32"/>
          <w:lang w:val="en-US" w:eastAsia="zh-CN"/>
        </w:rPr>
        <w:t>承担</w:t>
      </w:r>
      <w:r>
        <w:rPr>
          <w:rFonts w:hint="default" w:ascii="Times New Roman" w:hAnsi="Times New Roman" w:eastAsia="仿宋_GB2312" w:cs="Times New Roman"/>
          <w:sz w:val="32"/>
          <w:szCs w:val="32"/>
          <w:lang w:eastAsia="zh-CN"/>
        </w:rPr>
        <w:t>城镇应参加企业养老保险单位和个人的社会保险登记、申报管理，建立和管理参保单位和个人缴费记录，按规定核准和支付参保人员的养老保险待遇开展与养老保险费征缴有关稽核工作，指导各县（区）社保经办机构开展相关工作。</w:t>
      </w:r>
    </w:p>
    <w:p w14:paraId="6CAD2C61">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sz w:val="32"/>
          <w:szCs w:val="32"/>
          <w:lang w:val="zh-CN"/>
        </w:rPr>
      </w:pPr>
      <w:r>
        <w:rPr>
          <w:rFonts w:hint="eastAsia" w:eastAsia="仿宋_GB2312" w:cs="Times New Roman"/>
          <w:sz w:val="32"/>
          <w:szCs w:val="32"/>
          <w:lang w:val="en-US" w:eastAsia="zh-CN"/>
        </w:rPr>
        <w:t>2.</w:t>
      </w:r>
      <w:r>
        <w:rPr>
          <w:rFonts w:hint="default" w:ascii="Times New Roman" w:hAnsi="Times New Roman" w:eastAsia="仿宋_GB2312" w:cs="Times New Roman"/>
          <w:sz w:val="32"/>
          <w:szCs w:val="32"/>
          <w:lang w:val="zh-CN"/>
        </w:rPr>
        <w:t>项目立项、资金申报的依据。</w:t>
      </w:r>
    </w:p>
    <w:p w14:paraId="4CD45117">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“社保公共服务能力建设资金”</w:t>
      </w:r>
      <w:r>
        <w:rPr>
          <w:rFonts w:hint="default" w:ascii="Times New Roman" w:hAnsi="Times New Roman" w:eastAsia="仿宋_GB2312" w:cs="Times New Roman"/>
          <w:sz w:val="32"/>
          <w:szCs w:val="32"/>
          <w:lang w:val="en-US" w:eastAsia="zh-CN"/>
        </w:rPr>
        <w:t>项目设立原因及背景、</w:t>
      </w:r>
      <w:r>
        <w:rPr>
          <w:rFonts w:hint="default" w:ascii="Times New Roman" w:hAnsi="Times New Roman" w:eastAsia="仿宋_GB2312" w:cs="Times New Roman"/>
          <w:sz w:val="32"/>
          <w:szCs w:val="32"/>
          <w:lang w:val="zh-CN"/>
        </w:rPr>
        <w:t>项目立项、资金申报的依据</w:t>
      </w:r>
      <w:r>
        <w:rPr>
          <w:rFonts w:hint="eastAsia" w:ascii="Times New Roman" w:hAnsi="Times New Roman" w:eastAsia="仿宋_GB2312" w:cs="Times New Roman"/>
          <w:sz w:val="32"/>
          <w:szCs w:val="32"/>
          <w:lang w:val="zh-CN"/>
        </w:rPr>
        <w:t>：</w:t>
      </w:r>
      <w:r>
        <w:rPr>
          <w:rFonts w:hint="default" w:ascii="Times New Roman" w:hAnsi="Times New Roman" w:eastAsia="仿宋_GB2312" w:cs="Times New Roman"/>
          <w:sz w:val="32"/>
          <w:szCs w:val="32"/>
          <w:lang w:val="zh-CN"/>
        </w:rPr>
        <w:t>《四川省财政厅</w:t>
      </w:r>
      <w:r>
        <w:rPr>
          <w:rFonts w:hint="default" w:ascii="Times New Roman" w:hAnsi="Times New Roman" w:eastAsia="仿宋_GB2312" w:cs="Times New Roman"/>
          <w:sz w:val="32"/>
          <w:szCs w:val="32"/>
          <w:lang w:val="en-US" w:eastAsia="zh-CN"/>
        </w:rPr>
        <w:t xml:space="preserve"> 四川省人力资源和社会保障厅</w:t>
      </w:r>
      <w:r>
        <w:rPr>
          <w:rFonts w:hint="default" w:ascii="Times New Roman" w:hAnsi="Times New Roman" w:eastAsia="仿宋_GB2312" w:cs="Times New Roman"/>
          <w:sz w:val="32"/>
          <w:szCs w:val="32"/>
          <w:lang w:val="zh-CN"/>
        </w:rPr>
        <w:t>关于下达2023年省级财政人社公共服务能力建设补助资金的通知》（川财社〔2023〕56号）</w:t>
      </w:r>
      <w:r>
        <w:rPr>
          <w:rFonts w:hint="default"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rPr>
        <w:t>“社保公共服务能力建设资金”</w:t>
      </w:r>
      <w:r>
        <w:rPr>
          <w:rFonts w:hint="default" w:ascii="Times New Roman" w:hAnsi="Times New Roman" w:eastAsia="仿宋_GB2312" w:cs="Times New Roman"/>
          <w:sz w:val="32"/>
          <w:szCs w:val="32"/>
          <w:lang w:val="en-US" w:eastAsia="zh-CN"/>
        </w:rPr>
        <w:t>项目</w:t>
      </w:r>
      <w:r>
        <w:rPr>
          <w:rFonts w:hint="default" w:ascii="Times New Roman" w:hAnsi="Times New Roman" w:eastAsia="仿宋_GB2312" w:cs="Times New Roman"/>
          <w:sz w:val="32"/>
          <w:szCs w:val="32"/>
        </w:rPr>
        <w:t>主要用于</w:t>
      </w:r>
      <w:r>
        <w:rPr>
          <w:rFonts w:hint="default" w:ascii="Times New Roman" w:hAnsi="Times New Roman" w:eastAsia="仿宋_GB2312" w:cs="Times New Roman"/>
          <w:sz w:val="32"/>
          <w:szCs w:val="32"/>
          <w:lang w:eastAsia="zh-CN"/>
        </w:rPr>
        <w:t>攀枝花市</w:t>
      </w:r>
      <w:r>
        <w:rPr>
          <w:rFonts w:hint="default" w:ascii="Times New Roman" w:hAnsi="Times New Roman" w:eastAsia="仿宋_GB2312" w:cs="Times New Roman"/>
          <w:sz w:val="32"/>
          <w:szCs w:val="32"/>
        </w:rPr>
        <w:t>确保企业职工基本养老保险</w:t>
      </w:r>
      <w:r>
        <w:rPr>
          <w:rFonts w:hint="default" w:ascii="Times New Roman" w:hAnsi="Times New Roman" w:eastAsia="仿宋_GB2312" w:cs="Times New Roman"/>
          <w:sz w:val="32"/>
          <w:szCs w:val="32"/>
          <w:lang w:val="en-US" w:eastAsia="zh-CN"/>
        </w:rPr>
        <w:t>全国统筹落地落实</w:t>
      </w:r>
      <w:r>
        <w:rPr>
          <w:rFonts w:hint="default" w:ascii="Times New Roman" w:hAnsi="Times New Roman" w:eastAsia="仿宋_GB2312" w:cs="Times New Roman"/>
          <w:sz w:val="32"/>
          <w:szCs w:val="32"/>
        </w:rPr>
        <w:t>，参保覆盖人数持续增长，待遇水平稳步提高。</w:t>
      </w:r>
    </w:p>
    <w:p w14:paraId="3DB562D7">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sz w:val="32"/>
          <w:szCs w:val="32"/>
          <w:lang w:val="zh-CN"/>
        </w:rPr>
      </w:pPr>
      <w:r>
        <w:rPr>
          <w:rFonts w:hint="eastAsia" w:eastAsia="仿宋_GB2312" w:cs="Times New Roman"/>
          <w:sz w:val="32"/>
          <w:szCs w:val="32"/>
          <w:lang w:val="en-US" w:eastAsia="zh-CN"/>
        </w:rPr>
        <w:t>3.</w:t>
      </w:r>
      <w:r>
        <w:rPr>
          <w:rFonts w:hint="default" w:ascii="Times New Roman" w:hAnsi="Times New Roman" w:eastAsia="仿宋_GB2312" w:cs="Times New Roman"/>
          <w:sz w:val="32"/>
          <w:szCs w:val="32"/>
          <w:lang w:val="zh-CN"/>
        </w:rPr>
        <w:t>资金管理办法制定情况，资金支持具体项目的条件、范围与支持方式概况。</w:t>
      </w:r>
    </w:p>
    <w:p w14:paraId="5409D4BE">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为进一步规范省级财政人社公共服务能力建设补助资金管理，提高资金使用绩效，按照《四川省财政厅四川省人力资源和社会保障厅关于印发</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rPr>
        <w:t>四川省省级财政人社公共服务能力建设补助资金管理办法</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rPr>
        <w:t>的通知》（川财社〔2023〕33号），结合我市实际，</w:t>
      </w:r>
      <w:r>
        <w:rPr>
          <w:rFonts w:hint="default" w:ascii="Times New Roman" w:hAnsi="Times New Roman" w:eastAsia="仿宋_GB2312" w:cs="Times New Roman"/>
          <w:sz w:val="32"/>
          <w:szCs w:val="32"/>
          <w:lang w:eastAsia="zh-CN"/>
        </w:rPr>
        <w:t>我单位</w:t>
      </w:r>
      <w:r>
        <w:rPr>
          <w:rFonts w:hint="default" w:ascii="Times New Roman" w:hAnsi="Times New Roman" w:eastAsia="仿宋_GB2312" w:cs="Times New Roman"/>
          <w:sz w:val="32"/>
          <w:szCs w:val="32"/>
        </w:rPr>
        <w:t>制定了《攀枝花市社会保险事务中心</w:t>
      </w:r>
      <w:r>
        <w:rPr>
          <w:rFonts w:hint="default" w:ascii="Times New Roman" w:hAnsi="Times New Roman" w:eastAsia="仿宋_GB2312" w:cs="Times New Roman"/>
          <w:sz w:val="32"/>
          <w:szCs w:val="32"/>
          <w:lang w:val="en-US" w:eastAsia="zh-CN"/>
        </w:rPr>
        <w:t>社保公共服务能力建设补助资金</w:t>
      </w:r>
      <w:r>
        <w:rPr>
          <w:rFonts w:hint="default" w:ascii="Times New Roman" w:hAnsi="Times New Roman" w:eastAsia="仿宋_GB2312" w:cs="Times New Roman"/>
          <w:sz w:val="32"/>
          <w:szCs w:val="32"/>
        </w:rPr>
        <w:t>管理办法》</w:t>
      </w:r>
      <w:r>
        <w:rPr>
          <w:rFonts w:hint="default" w:ascii="Times New Roman" w:hAnsi="Times New Roman" w:eastAsia="仿宋_GB2312" w:cs="Times New Roman"/>
          <w:sz w:val="32"/>
          <w:szCs w:val="32"/>
          <w:lang w:eastAsia="zh-CN"/>
        </w:rPr>
        <w:t>。</w:t>
      </w:r>
    </w:p>
    <w:p w14:paraId="59D5A3C1">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社保公共服务能力建设资金”项目资金主要用于确保企业职工基本养老保险全国统筹，参保覆盖人数持续增长，待遇水平稳步提高。进一步推进“温暖人社”建设，按照建设“群众满意的人社公共服务”体系要求，围绕优化营商环境、打造便民服务、加强行风政风建设这条主线，积极推进人社系统“综合柜员制”改革，促进攀枝花市社会保险事务中心进一步履行职能职责。</w:t>
      </w:r>
    </w:p>
    <w:p w14:paraId="5868D683">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资金主要用于社会保险经办标准化建设、信息系统建设及运行维护、设施设备购置、人员能力素质提升培训、业务档案数字化管理等相关支出。</w:t>
      </w:r>
    </w:p>
    <w:p w14:paraId="51EBBB23">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sz w:val="32"/>
          <w:szCs w:val="32"/>
          <w:lang w:val="zh-CN" w:eastAsia="zh-CN"/>
        </w:rPr>
      </w:pPr>
      <w:r>
        <w:rPr>
          <w:rFonts w:hint="eastAsia" w:eastAsia="仿宋_GB2312" w:cs="Times New Roman"/>
          <w:sz w:val="32"/>
          <w:szCs w:val="32"/>
          <w:lang w:val="en-US" w:eastAsia="zh-CN"/>
        </w:rPr>
        <w:t>4.</w:t>
      </w:r>
      <w:r>
        <w:rPr>
          <w:rFonts w:hint="default" w:ascii="Times New Roman" w:hAnsi="Times New Roman" w:eastAsia="仿宋_GB2312" w:cs="Times New Roman"/>
          <w:sz w:val="32"/>
          <w:szCs w:val="32"/>
          <w:lang w:val="zh-CN" w:eastAsia="zh-CN"/>
        </w:rPr>
        <w:t>资金分配的原则及考虑因素。</w:t>
      </w:r>
    </w:p>
    <w:p w14:paraId="34494F5A">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sz w:val="32"/>
          <w:szCs w:val="32"/>
          <w:lang w:val="zh-CN" w:eastAsia="zh-CN"/>
        </w:rPr>
      </w:pPr>
      <w:r>
        <w:rPr>
          <w:rFonts w:hint="default" w:ascii="Times New Roman" w:hAnsi="Times New Roman" w:eastAsia="仿宋_GB2312" w:cs="Times New Roman"/>
          <w:sz w:val="32"/>
          <w:szCs w:val="32"/>
          <w:lang w:val="zh-CN" w:eastAsia="zh-CN"/>
        </w:rPr>
        <w:t>项目资金分配</w:t>
      </w:r>
      <w:r>
        <w:rPr>
          <w:rFonts w:hint="default" w:ascii="Times New Roman" w:hAnsi="Times New Roman" w:eastAsia="仿宋_GB2312" w:cs="Times New Roman"/>
          <w:sz w:val="32"/>
          <w:szCs w:val="32"/>
          <w:lang w:val="en-US" w:eastAsia="zh-CN"/>
        </w:rPr>
        <w:t>按照参保管理范围、服务人群及重点工作难易程度和考核结果分数加权计算。按照“公平公正、规范透明、科学合理”的原则，资金主要采用分配办法具体情况如下:企业职工基本养老保险政策执行和参保扩面25%、统收统支和待遇核发20%、责任分担10%、经办服务和风险防控35%、年度重点工作10%。考核总分为100分，按各考核指标分别计分，涉及扣分的指标项，该项分值扣完为止。</w:t>
      </w:r>
    </w:p>
    <w:p w14:paraId="688F6835">
      <w:pPr>
        <w:keepNext w:val="0"/>
        <w:keepLines w:val="0"/>
        <w:pageBreakBefore w:val="0"/>
        <w:kinsoku/>
        <w:wordWrap/>
        <w:overflowPunct/>
        <w:topLinePunct w:val="0"/>
        <w:autoSpaceDE/>
        <w:autoSpaceDN/>
        <w:bidi w:val="0"/>
        <w:adjustRightInd w:val="0"/>
        <w:snapToGrid w:val="0"/>
        <w:spacing w:line="600" w:lineRule="exact"/>
        <w:ind w:firstLine="720"/>
        <w:textAlignment w:val="auto"/>
        <w:rPr>
          <w:rFonts w:hint="default" w:ascii="Times New Roman" w:hAnsi="Times New Roman" w:eastAsia="楷体_GB2312" w:cs="Times New Roman"/>
          <w:b/>
          <w:sz w:val="32"/>
          <w:szCs w:val="32"/>
          <w:lang w:val="zh-CN"/>
        </w:rPr>
      </w:pPr>
      <w:r>
        <w:rPr>
          <w:rFonts w:hint="default" w:ascii="Times New Roman" w:hAnsi="Times New Roman" w:eastAsia="楷体_GB2312" w:cs="Times New Roman"/>
          <w:b/>
          <w:sz w:val="32"/>
          <w:szCs w:val="32"/>
          <w:lang w:val="zh-CN"/>
        </w:rPr>
        <w:t>（二）项目绩效目标</w:t>
      </w:r>
    </w:p>
    <w:p w14:paraId="4F96994E">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sz w:val="32"/>
          <w:szCs w:val="32"/>
          <w:lang w:val="zh-CN" w:eastAsia="zh-CN"/>
        </w:rPr>
      </w:pPr>
      <w:r>
        <w:rPr>
          <w:rFonts w:hint="eastAsia" w:eastAsia="仿宋_GB2312" w:cs="Times New Roman"/>
          <w:sz w:val="32"/>
          <w:szCs w:val="32"/>
          <w:lang w:val="en-US" w:eastAsia="zh-CN"/>
        </w:rPr>
        <w:t>1.</w:t>
      </w:r>
      <w:r>
        <w:rPr>
          <w:rFonts w:hint="default" w:ascii="Times New Roman" w:hAnsi="Times New Roman" w:eastAsia="仿宋_GB2312" w:cs="Times New Roman"/>
          <w:sz w:val="32"/>
          <w:szCs w:val="32"/>
          <w:lang w:val="zh-CN" w:eastAsia="zh-CN"/>
        </w:rPr>
        <w:t>项目主要内容。</w:t>
      </w:r>
    </w:p>
    <w:p w14:paraId="08A96F5A">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val="en-US" w:eastAsia="zh-CN"/>
        </w:rPr>
        <w:t>“社保公共服务能力建设资金”项目资金主要用于</w:t>
      </w:r>
      <w:r>
        <w:rPr>
          <w:rFonts w:hint="eastAsia" w:ascii="Times New Roman" w:hAnsi="Times New Roman" w:eastAsia="仿宋_GB2312" w:cs="Times New Roman"/>
          <w:sz w:val="32"/>
          <w:szCs w:val="32"/>
          <w:lang w:val="en-US" w:eastAsia="zh-CN"/>
        </w:rPr>
        <w:t>攀枝花</w:t>
      </w:r>
      <w:r>
        <w:rPr>
          <w:rFonts w:hint="default" w:ascii="Times New Roman" w:hAnsi="Times New Roman" w:eastAsia="仿宋_GB2312" w:cs="Times New Roman"/>
          <w:sz w:val="32"/>
          <w:szCs w:val="32"/>
          <w:lang w:val="en-US" w:eastAsia="zh-CN"/>
        </w:rPr>
        <w:t>市社会保险事务中心保障企业职工基本养老保险全国统筹顺利推进，参保覆盖人数持续增长，待遇水平稳步提高，基金运行总体平稳，有利于促进市社会保险事务中心进一步加强公共服务能力建设，为参保人员提供更优质的社保服务。</w:t>
      </w:r>
    </w:p>
    <w:p w14:paraId="7FA05864">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sz w:val="32"/>
          <w:szCs w:val="32"/>
          <w:lang w:val="zh-CN" w:eastAsia="zh-CN"/>
        </w:rPr>
      </w:pPr>
      <w:r>
        <w:rPr>
          <w:rFonts w:hint="eastAsia" w:eastAsia="仿宋_GB2312" w:cs="Times New Roman"/>
          <w:sz w:val="32"/>
          <w:szCs w:val="32"/>
          <w:lang w:val="en-US" w:eastAsia="zh-CN"/>
        </w:rPr>
        <w:t>2.</w:t>
      </w:r>
      <w:r>
        <w:rPr>
          <w:rFonts w:hint="default" w:ascii="Times New Roman" w:hAnsi="Times New Roman" w:eastAsia="仿宋_GB2312" w:cs="Times New Roman"/>
          <w:sz w:val="32"/>
          <w:szCs w:val="32"/>
          <w:lang w:val="zh-CN" w:eastAsia="zh-CN"/>
        </w:rPr>
        <w:t>项目应实现的具体绩效目标，包括目标的量化、细化情况以及项目实施进度计划等。</w:t>
      </w:r>
    </w:p>
    <w:p w14:paraId="3A59A009">
      <w:pPr>
        <w:keepNext w:val="0"/>
        <w:keepLines w:val="0"/>
        <w:pageBreakBefore w:val="0"/>
        <w:numPr>
          <w:ilvl w:val="0"/>
          <w:numId w:val="4"/>
        </w:numPr>
        <w:kinsoku/>
        <w:wordWrap/>
        <w:overflowPunct/>
        <w:topLinePunct w:val="0"/>
        <w:autoSpaceDE/>
        <w:autoSpaceDN/>
        <w:bidi w:val="0"/>
        <w:spacing w:line="60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质量指标：</w:t>
      </w:r>
      <w:r>
        <w:rPr>
          <w:rFonts w:hint="default" w:ascii="Times New Roman" w:hAnsi="Times New Roman" w:eastAsia="仿宋_GB2312" w:cs="Times New Roman"/>
          <w:sz w:val="32"/>
          <w:szCs w:val="32"/>
          <w:lang w:val="en-US" w:eastAsia="zh-CN"/>
        </w:rPr>
        <w:t>养老金领取资格认证率达到100%。</w:t>
      </w:r>
    </w:p>
    <w:p w14:paraId="6D391760">
      <w:pPr>
        <w:keepNext w:val="0"/>
        <w:keepLines w:val="0"/>
        <w:pageBreakBefore w:val="0"/>
        <w:numPr>
          <w:ilvl w:val="0"/>
          <w:numId w:val="4"/>
        </w:numPr>
        <w:kinsoku/>
        <w:wordWrap/>
        <w:overflowPunct/>
        <w:topLinePunct w:val="0"/>
        <w:autoSpaceDE/>
        <w:autoSpaceDN/>
        <w:bidi w:val="0"/>
        <w:spacing w:line="60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t>时效指标：</w:t>
      </w:r>
      <w:r>
        <w:rPr>
          <w:rFonts w:hint="default" w:ascii="Times New Roman" w:hAnsi="Times New Roman" w:eastAsia="仿宋_GB2312" w:cs="Times New Roman"/>
          <w:sz w:val="32"/>
          <w:szCs w:val="32"/>
          <w:lang w:val="en-US" w:eastAsia="zh-CN"/>
        </w:rPr>
        <w:t>资金在规定时间下达率达到100%。</w:t>
      </w:r>
    </w:p>
    <w:p w14:paraId="160A1DEE">
      <w:pPr>
        <w:keepNext w:val="0"/>
        <w:keepLines w:val="0"/>
        <w:pageBreakBefore w:val="0"/>
        <w:widowControl/>
        <w:kinsoku/>
        <w:wordWrap/>
        <w:overflowPunct/>
        <w:topLinePunct w:val="0"/>
        <w:autoSpaceDE/>
        <w:autoSpaceDN/>
        <w:bidi w:val="0"/>
        <w:spacing w:line="600" w:lineRule="exact"/>
        <w:ind w:firstLine="640" w:firstLineChars="200"/>
        <w:jc w:val="both"/>
        <w:textAlignment w:val="auto"/>
        <w:rPr>
          <w:rFonts w:hint="default" w:ascii="Times New Roman" w:hAnsi="Times New Roman" w:cs="Times New Roman"/>
          <w:sz w:val="32"/>
          <w:szCs w:val="32"/>
          <w:lang w:eastAsia="zh-CN"/>
        </w:rPr>
      </w:pPr>
      <w:r>
        <w:rPr>
          <w:rFonts w:hint="default" w:ascii="Times New Roman" w:hAnsi="Times New Roman" w:eastAsia="仿宋_GB2312" w:cs="Times New Roman"/>
          <w:sz w:val="32"/>
          <w:szCs w:val="32"/>
        </w:rPr>
        <w:t>（3）时效指标：企业职工基本养老保险待遇按时足额发放</w:t>
      </w:r>
      <w:r>
        <w:rPr>
          <w:rFonts w:hint="default" w:ascii="Times New Roman" w:hAnsi="Times New Roman" w:cs="Times New Roman"/>
          <w:sz w:val="32"/>
          <w:szCs w:val="32"/>
          <w:lang w:eastAsia="zh-CN"/>
        </w:rPr>
        <w:t>率达到</w:t>
      </w:r>
      <w:r>
        <w:rPr>
          <w:rFonts w:hint="default" w:ascii="Times New Roman" w:hAnsi="Times New Roman" w:cs="Times New Roman"/>
          <w:sz w:val="32"/>
          <w:szCs w:val="32"/>
          <w:lang w:val="en-US" w:eastAsia="zh-CN"/>
        </w:rPr>
        <w:t>100%</w:t>
      </w:r>
      <w:r>
        <w:rPr>
          <w:rFonts w:hint="default" w:ascii="Times New Roman" w:hAnsi="Times New Roman" w:cs="Times New Roman"/>
          <w:sz w:val="32"/>
          <w:szCs w:val="32"/>
          <w:lang w:eastAsia="zh-CN"/>
        </w:rPr>
        <w:t>。</w:t>
      </w:r>
    </w:p>
    <w:p w14:paraId="67D7F214">
      <w:pPr>
        <w:keepNext w:val="0"/>
        <w:keepLines w:val="0"/>
        <w:pageBreakBefore w:val="0"/>
        <w:widowControl/>
        <w:kinsoku/>
        <w:wordWrap/>
        <w:overflowPunct/>
        <w:topLinePunct w:val="0"/>
        <w:autoSpaceDE/>
        <w:autoSpaceDN/>
        <w:bidi w:val="0"/>
        <w:spacing w:line="600" w:lineRule="exact"/>
        <w:ind w:firstLine="640" w:firstLineChars="200"/>
        <w:jc w:val="left"/>
        <w:textAlignment w:val="auto"/>
        <w:rPr>
          <w:rFonts w:hint="default" w:ascii="Times New Roman" w:hAnsi="Times New Roman" w:eastAsia="仿宋_GB2312" w:cs="Times New Roman"/>
          <w:sz w:val="32"/>
          <w:szCs w:val="32"/>
          <w:lang w:eastAsia="zh-CN"/>
        </w:rPr>
      </w:pPr>
      <w:r>
        <w:rPr>
          <w:rFonts w:hint="default" w:ascii="Times New Roman" w:hAnsi="Times New Roman" w:cs="Times New Roman"/>
          <w:sz w:val="32"/>
          <w:szCs w:val="32"/>
          <w:lang w:eastAsia="zh-CN"/>
        </w:rPr>
        <w:t>（</w:t>
      </w:r>
      <w:r>
        <w:rPr>
          <w:rFonts w:hint="default" w:ascii="Times New Roman" w:hAnsi="Times New Roman" w:cs="Times New Roman"/>
          <w:sz w:val="32"/>
          <w:szCs w:val="32"/>
          <w:lang w:val="en-US" w:eastAsia="zh-CN"/>
        </w:rPr>
        <w:t>4</w:t>
      </w:r>
      <w:r>
        <w:rPr>
          <w:rFonts w:hint="default" w:ascii="Times New Roman" w:hAnsi="Times New Roman" w:cs="Times New Roman"/>
          <w:sz w:val="32"/>
          <w:szCs w:val="32"/>
          <w:lang w:eastAsia="zh-CN"/>
        </w:rPr>
        <w:t>）</w:t>
      </w:r>
      <w:r>
        <w:rPr>
          <w:rFonts w:hint="default" w:ascii="Times New Roman" w:hAnsi="Times New Roman" w:eastAsia="仿宋_GB2312" w:cs="Times New Roman"/>
          <w:sz w:val="32"/>
          <w:szCs w:val="32"/>
        </w:rPr>
        <w:t>成本指标：</w:t>
      </w:r>
      <w:r>
        <w:rPr>
          <w:rFonts w:hint="default" w:ascii="Times New Roman" w:hAnsi="Times New Roman" w:eastAsia="仿宋_GB2312" w:cs="Times New Roman"/>
          <w:sz w:val="32"/>
          <w:szCs w:val="32"/>
          <w:lang w:val="en-US" w:eastAsia="zh-CN"/>
        </w:rPr>
        <w:t>16.8万元资金全额下达。</w:t>
      </w:r>
    </w:p>
    <w:p w14:paraId="43435D49">
      <w:pPr>
        <w:keepNext w:val="0"/>
        <w:keepLines w:val="0"/>
        <w:pageBreakBefore w:val="0"/>
        <w:widowControl/>
        <w:kinsoku/>
        <w:wordWrap/>
        <w:overflowPunct/>
        <w:topLinePunct w:val="0"/>
        <w:autoSpaceDE/>
        <w:autoSpaceDN/>
        <w:bidi w:val="0"/>
        <w:spacing w:line="600" w:lineRule="exact"/>
        <w:ind w:firstLine="640" w:firstLineChars="200"/>
        <w:jc w:val="left"/>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t>（</w:t>
      </w:r>
      <w:r>
        <w:rPr>
          <w:rFonts w:hint="default" w:ascii="Times New Roman" w:hAnsi="Times New Roman" w:cs="Times New Roman"/>
          <w:sz w:val="32"/>
          <w:szCs w:val="32"/>
          <w:lang w:val="en-US" w:eastAsia="zh-CN"/>
        </w:rPr>
        <w:t>5</w:t>
      </w:r>
      <w:r>
        <w:rPr>
          <w:rFonts w:hint="default" w:ascii="Times New Roman" w:hAnsi="Times New Roman" w:eastAsia="仿宋_GB2312" w:cs="Times New Roman"/>
          <w:sz w:val="32"/>
          <w:szCs w:val="32"/>
        </w:rPr>
        <w:t>）社会效益指标：</w:t>
      </w:r>
      <w:r>
        <w:rPr>
          <w:rFonts w:hint="default" w:ascii="Times New Roman" w:hAnsi="Times New Roman" w:eastAsia="仿宋_GB2312" w:cs="Times New Roman"/>
          <w:sz w:val="32"/>
          <w:szCs w:val="32"/>
          <w:lang w:val="zh-CN" w:eastAsia="zh-CN"/>
        </w:rPr>
        <w:t>人民群众获得感、幸福感增强。</w:t>
      </w:r>
    </w:p>
    <w:p w14:paraId="2BF3696E">
      <w:pPr>
        <w:pStyle w:val="9"/>
        <w:keepNext w:val="0"/>
        <w:keepLines w:val="0"/>
        <w:pageBreakBefore w:val="0"/>
        <w:kinsoku/>
        <w:wordWrap/>
        <w:overflowPunct/>
        <w:topLinePunct w:val="0"/>
        <w:autoSpaceDE/>
        <w:autoSpaceDN/>
        <w:bidi w:val="0"/>
        <w:spacing w:line="60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w:t>
      </w:r>
      <w:r>
        <w:rPr>
          <w:rFonts w:hint="default" w:ascii="Times New Roman" w:hAnsi="Times New Roman" w:cs="Times New Roman"/>
          <w:sz w:val="32"/>
          <w:szCs w:val="32"/>
          <w:lang w:val="en-US" w:eastAsia="zh-CN"/>
        </w:rPr>
        <w:t>6</w:t>
      </w:r>
      <w:r>
        <w:rPr>
          <w:rFonts w:hint="default" w:ascii="Times New Roman" w:hAnsi="Times New Roman" w:eastAsia="仿宋_GB2312" w:cs="Times New Roman"/>
          <w:sz w:val="32"/>
          <w:szCs w:val="32"/>
        </w:rPr>
        <w:t>）满意度指标：</w:t>
      </w:r>
      <w:r>
        <w:rPr>
          <w:rFonts w:hint="default" w:ascii="Times New Roman" w:hAnsi="Times New Roman" w:eastAsia="仿宋_GB2312" w:cs="Times New Roman"/>
          <w:color w:val="000000"/>
          <w:sz w:val="32"/>
          <w:szCs w:val="32"/>
        </w:rPr>
        <w:t>参保人员满意度</w:t>
      </w:r>
      <w:r>
        <w:rPr>
          <w:rFonts w:hint="default" w:ascii="Times New Roman" w:hAnsi="Times New Roman" w:cs="Times New Roman"/>
          <w:sz w:val="32"/>
          <w:szCs w:val="32"/>
        </w:rPr>
        <w:t>≥</w:t>
      </w:r>
      <w:r>
        <w:rPr>
          <w:rFonts w:hint="default" w:ascii="Times New Roman" w:hAnsi="Times New Roman" w:eastAsia="仿宋_GB2312" w:cs="Times New Roman"/>
          <w:sz w:val="32"/>
          <w:szCs w:val="32"/>
        </w:rPr>
        <w:t>90%。</w:t>
      </w:r>
    </w:p>
    <w:p w14:paraId="3035FFF5">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sz w:val="32"/>
          <w:szCs w:val="32"/>
          <w:lang w:val="zh-CN" w:eastAsia="zh-CN"/>
        </w:rPr>
      </w:pPr>
      <w:r>
        <w:rPr>
          <w:rFonts w:hint="eastAsia" w:ascii="Times New Roman" w:hAnsi="Times New Roman" w:eastAsia="仿宋_GB2312" w:cs="Times New Roman"/>
          <w:sz w:val="32"/>
          <w:szCs w:val="32"/>
          <w:lang w:val="en-US" w:eastAsia="zh-CN"/>
        </w:rPr>
        <w:t>3.</w:t>
      </w:r>
      <w:r>
        <w:rPr>
          <w:rFonts w:hint="default" w:ascii="Times New Roman" w:hAnsi="Times New Roman" w:eastAsia="仿宋_GB2312" w:cs="Times New Roman"/>
          <w:sz w:val="32"/>
          <w:szCs w:val="32"/>
          <w:lang w:val="zh-CN" w:eastAsia="zh-CN"/>
        </w:rPr>
        <w:t>分析评价申报内容是否与实际相符，申报目标是否合理可行。</w:t>
      </w:r>
    </w:p>
    <w:p w14:paraId="48C728A6">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hint="default" w:ascii="Times New Roman" w:hAnsi="Times New Roman" w:eastAsia="仿宋_GB2312" w:cs="Times New Roman"/>
          <w:sz w:val="32"/>
          <w:szCs w:val="32"/>
          <w:lang w:val="zh-CN"/>
        </w:rPr>
      </w:pPr>
      <w:r>
        <w:rPr>
          <w:rFonts w:hint="eastAsia" w:ascii="Times New Roman" w:hAnsi="Times New Roman" w:eastAsia="仿宋_GB2312" w:cs="Times New Roman"/>
          <w:sz w:val="32"/>
          <w:szCs w:val="32"/>
          <w:lang w:val="en-US" w:eastAsia="zh-CN"/>
        </w:rPr>
        <w:t>攀枝花</w:t>
      </w:r>
      <w:r>
        <w:rPr>
          <w:rFonts w:hint="default" w:ascii="Times New Roman" w:hAnsi="Times New Roman" w:eastAsia="仿宋_GB2312" w:cs="Times New Roman"/>
          <w:sz w:val="32"/>
          <w:szCs w:val="32"/>
          <w:lang w:val="zh-CN"/>
        </w:rPr>
        <w:t>市社会保险事务中心按照20</w:t>
      </w:r>
      <w:r>
        <w:rPr>
          <w:rFonts w:hint="default" w:ascii="Times New Roman" w:hAnsi="Times New Roman" w:cs="Times New Roman"/>
          <w:sz w:val="32"/>
          <w:szCs w:val="32"/>
          <w:lang w:val="en-US" w:eastAsia="zh-CN"/>
        </w:rPr>
        <w:t>24</w:t>
      </w:r>
      <w:r>
        <w:rPr>
          <w:rFonts w:hint="default" w:ascii="Times New Roman" w:hAnsi="Times New Roman" w:eastAsia="仿宋_GB2312" w:cs="Times New Roman"/>
          <w:sz w:val="32"/>
          <w:szCs w:val="32"/>
          <w:lang w:val="zh-CN"/>
        </w:rPr>
        <w:t>年目标任务制定绩效目标，申报内容与实际相符，申报目标合理可行。</w:t>
      </w:r>
    </w:p>
    <w:p w14:paraId="732A190D">
      <w:pPr>
        <w:keepNext w:val="0"/>
        <w:keepLines w:val="0"/>
        <w:pageBreakBefore w:val="0"/>
        <w:kinsoku/>
        <w:wordWrap/>
        <w:overflowPunct/>
        <w:topLinePunct w:val="0"/>
        <w:autoSpaceDE/>
        <w:autoSpaceDN/>
        <w:bidi w:val="0"/>
        <w:adjustRightInd w:val="0"/>
        <w:snapToGrid w:val="0"/>
        <w:spacing w:line="600" w:lineRule="exact"/>
        <w:ind w:firstLine="720"/>
        <w:textAlignment w:val="auto"/>
        <w:rPr>
          <w:rFonts w:hint="default" w:ascii="Times New Roman" w:hAnsi="Times New Roman" w:eastAsia="楷体_GB2312" w:cs="Times New Roman"/>
          <w:b/>
          <w:sz w:val="32"/>
          <w:szCs w:val="32"/>
          <w:lang w:val="zh-CN"/>
        </w:rPr>
      </w:pPr>
      <w:r>
        <w:rPr>
          <w:rFonts w:hint="default" w:ascii="Times New Roman" w:hAnsi="Times New Roman" w:eastAsia="楷体_GB2312" w:cs="Times New Roman"/>
          <w:b/>
          <w:sz w:val="32"/>
          <w:szCs w:val="32"/>
          <w:lang w:val="zh-CN"/>
        </w:rPr>
        <w:t>（三）项目自评步骤及方法</w:t>
      </w:r>
    </w:p>
    <w:p w14:paraId="1DF07042">
      <w:pPr>
        <w:keepNext w:val="0"/>
        <w:keepLines w:val="0"/>
        <w:pageBreakBefore w:val="0"/>
        <w:widowControl/>
        <w:kinsoku/>
        <w:wordWrap/>
        <w:overflowPunct/>
        <w:topLinePunct w:val="0"/>
        <w:autoSpaceDE/>
        <w:autoSpaceDN/>
        <w:bidi w:val="0"/>
        <w:spacing w:line="600" w:lineRule="exact"/>
        <w:ind w:firstLine="640" w:firstLineChars="200"/>
        <w:jc w:val="both"/>
        <w:textAlignment w:val="auto"/>
        <w:rPr>
          <w:rFonts w:hint="default" w:ascii="Times New Roman" w:hAnsi="Times New Roman" w:eastAsia="仿宋_GB2312" w:cs="Times New Roman"/>
          <w:sz w:val="32"/>
          <w:szCs w:val="32"/>
          <w:lang w:val="zh-CN" w:eastAsia="zh-CN"/>
        </w:rPr>
      </w:pPr>
      <w:r>
        <w:rPr>
          <w:rFonts w:hint="eastAsia" w:ascii="Times New Roman" w:hAnsi="Times New Roman" w:eastAsia="仿宋_GB2312" w:cs="Times New Roman"/>
          <w:sz w:val="32"/>
          <w:szCs w:val="32"/>
          <w:lang w:val="en-US" w:eastAsia="zh-CN"/>
        </w:rPr>
        <w:t>攀枝花</w:t>
      </w:r>
      <w:r>
        <w:rPr>
          <w:rFonts w:hint="default" w:ascii="Times New Roman" w:hAnsi="Times New Roman" w:eastAsia="仿宋_GB2312" w:cs="Times New Roman"/>
          <w:sz w:val="32"/>
          <w:szCs w:val="32"/>
          <w:lang w:val="en-US" w:eastAsia="zh-CN"/>
        </w:rPr>
        <w:t>市社会保险事务中心项目绩效评价按照前期准备阶段、自评阶段、实施评价阶段、报告撰写阶段、结果运用阶段五个阶段的工作流程。</w:t>
      </w:r>
      <w:r>
        <w:rPr>
          <w:rFonts w:hint="default" w:ascii="Times New Roman" w:hAnsi="Times New Roman" w:eastAsia="仿宋_GB2312" w:cs="Times New Roman"/>
          <w:sz w:val="32"/>
          <w:szCs w:val="32"/>
          <w:lang w:val="zh-CN" w:eastAsia="zh-CN"/>
        </w:rPr>
        <w:t>办公室成立项目评价小组对项目资金执行情况进行自查自评。</w:t>
      </w:r>
    </w:p>
    <w:p w14:paraId="7606ADFB">
      <w:pPr>
        <w:keepNext w:val="0"/>
        <w:keepLines w:val="0"/>
        <w:pageBreakBefore w:val="0"/>
        <w:kinsoku/>
        <w:wordWrap/>
        <w:overflowPunct/>
        <w:topLinePunct w:val="0"/>
        <w:autoSpaceDE/>
        <w:autoSpaceDN/>
        <w:bidi w:val="0"/>
        <w:adjustRightInd w:val="0"/>
        <w:snapToGrid w:val="0"/>
        <w:spacing w:line="600" w:lineRule="exact"/>
        <w:ind w:firstLine="72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二、项目资金申报及使用情况</w:t>
      </w:r>
    </w:p>
    <w:p w14:paraId="1966B4A0">
      <w:pPr>
        <w:keepNext w:val="0"/>
        <w:keepLines w:val="0"/>
        <w:pageBreakBefore w:val="0"/>
        <w:numPr>
          <w:ilvl w:val="0"/>
          <w:numId w:val="0"/>
        </w:numPr>
        <w:kinsoku/>
        <w:wordWrap/>
        <w:overflowPunct/>
        <w:topLinePunct w:val="0"/>
        <w:autoSpaceDE/>
        <w:autoSpaceDN/>
        <w:bidi w:val="0"/>
        <w:adjustRightInd w:val="0"/>
        <w:snapToGrid w:val="0"/>
        <w:spacing w:line="600" w:lineRule="exact"/>
        <w:ind w:firstLine="640" w:firstLineChars="200"/>
        <w:textAlignment w:val="auto"/>
        <w:rPr>
          <w:rFonts w:hint="default" w:ascii="Times New Roman" w:hAnsi="Times New Roman" w:eastAsia="仿宋_GB2312" w:cs="Times New Roman"/>
          <w:sz w:val="32"/>
          <w:szCs w:val="32"/>
          <w:lang w:val="zh-CN"/>
        </w:rPr>
      </w:pPr>
      <w:r>
        <w:rPr>
          <w:rFonts w:hint="default" w:ascii="Times New Roman" w:hAnsi="Times New Roman" w:eastAsia="仿宋_GB2312" w:cs="Times New Roman"/>
          <w:sz w:val="32"/>
          <w:szCs w:val="32"/>
        </w:rPr>
        <w:t>“社保公共服务能力建设资金”</w:t>
      </w:r>
      <w:r>
        <w:rPr>
          <w:rFonts w:hint="default" w:ascii="Times New Roman" w:hAnsi="Times New Roman" w:eastAsia="仿宋_GB2312" w:cs="Times New Roman"/>
          <w:sz w:val="32"/>
          <w:szCs w:val="32"/>
          <w:lang w:val="zh-CN"/>
        </w:rPr>
        <w:t>项目资金共</w:t>
      </w:r>
      <w:r>
        <w:rPr>
          <w:rFonts w:hint="default" w:ascii="Times New Roman" w:hAnsi="Times New Roman" w:cs="Times New Roman"/>
          <w:sz w:val="32"/>
          <w:szCs w:val="32"/>
          <w:lang w:val="en-US" w:eastAsia="zh-CN"/>
        </w:rPr>
        <w:t>16.8</w:t>
      </w:r>
      <w:r>
        <w:rPr>
          <w:rFonts w:hint="default" w:ascii="Times New Roman" w:hAnsi="Times New Roman" w:eastAsia="仿宋_GB2312" w:cs="Times New Roman"/>
          <w:sz w:val="32"/>
          <w:szCs w:val="32"/>
          <w:lang w:val="zh-CN"/>
        </w:rPr>
        <w:t>万元</w:t>
      </w:r>
      <w:r>
        <w:rPr>
          <w:rFonts w:hint="default" w:ascii="Times New Roman" w:hAnsi="Times New Roman" w:cs="Times New Roman"/>
          <w:sz w:val="32"/>
          <w:szCs w:val="32"/>
          <w:lang w:val="zh-CN"/>
        </w:rPr>
        <w:t>，</w:t>
      </w:r>
      <w:r>
        <w:rPr>
          <w:rFonts w:hint="default" w:ascii="Times New Roman" w:hAnsi="Times New Roman" w:eastAsia="仿宋_GB2312" w:cs="Times New Roman"/>
          <w:sz w:val="32"/>
          <w:szCs w:val="32"/>
          <w:lang w:val="zh-CN"/>
        </w:rPr>
        <w:t>资金支付完成100%。</w:t>
      </w:r>
    </w:p>
    <w:p w14:paraId="4EDB274D">
      <w:pPr>
        <w:keepNext w:val="0"/>
        <w:keepLines w:val="0"/>
        <w:pageBreakBefore w:val="0"/>
        <w:kinsoku/>
        <w:wordWrap/>
        <w:overflowPunct/>
        <w:topLinePunct w:val="0"/>
        <w:autoSpaceDE/>
        <w:autoSpaceDN/>
        <w:bidi w:val="0"/>
        <w:adjustRightInd w:val="0"/>
        <w:snapToGrid w:val="0"/>
        <w:spacing w:line="600" w:lineRule="exact"/>
        <w:ind w:firstLine="720"/>
        <w:textAlignment w:val="auto"/>
        <w:rPr>
          <w:rFonts w:hint="default" w:ascii="Times New Roman" w:hAnsi="Times New Roman" w:eastAsia="楷体_GB2312" w:cs="Times New Roman"/>
          <w:b/>
          <w:sz w:val="32"/>
          <w:szCs w:val="32"/>
          <w:lang w:val="zh-CN"/>
        </w:rPr>
      </w:pPr>
      <w:r>
        <w:rPr>
          <w:rFonts w:hint="default" w:ascii="Times New Roman" w:hAnsi="Times New Roman" w:eastAsia="楷体_GB2312" w:cs="Times New Roman"/>
          <w:b/>
          <w:sz w:val="32"/>
          <w:szCs w:val="32"/>
          <w:lang w:val="zh-CN"/>
        </w:rPr>
        <w:t>（一）项目资金申报及批复情况</w:t>
      </w:r>
    </w:p>
    <w:p w14:paraId="454F672B">
      <w:pPr>
        <w:keepNext w:val="0"/>
        <w:keepLines w:val="0"/>
        <w:pageBreakBefore w:val="0"/>
        <w:widowControl/>
        <w:kinsoku/>
        <w:wordWrap/>
        <w:overflowPunct/>
        <w:topLinePunct w:val="0"/>
        <w:autoSpaceDE/>
        <w:autoSpaceDN/>
        <w:bidi w:val="0"/>
        <w:spacing w:line="600" w:lineRule="exact"/>
        <w:ind w:firstLine="640" w:firstLineChars="200"/>
        <w:jc w:val="left"/>
        <w:textAlignment w:val="auto"/>
        <w:rPr>
          <w:rFonts w:hint="default" w:ascii="Times New Roman" w:hAnsi="Times New Roman" w:eastAsia="仿宋_GB2312" w:cs="Times New Roman"/>
          <w:sz w:val="32"/>
          <w:szCs w:val="32"/>
          <w:lang w:val="zh-CN" w:eastAsia="zh-CN"/>
        </w:rPr>
      </w:pPr>
      <w:r>
        <w:rPr>
          <w:rFonts w:hint="default" w:ascii="Times New Roman" w:hAnsi="Times New Roman" w:eastAsia="仿宋_GB2312" w:cs="Times New Roman"/>
          <w:sz w:val="32"/>
          <w:szCs w:val="32"/>
          <w:lang w:val="en-US" w:eastAsia="zh-CN"/>
        </w:rPr>
        <w:t>“社保公共服务能力建设资金”</w:t>
      </w:r>
      <w:r>
        <w:rPr>
          <w:rFonts w:hint="default" w:ascii="Times New Roman" w:hAnsi="Times New Roman" w:eastAsia="仿宋_GB2312" w:cs="Times New Roman"/>
          <w:sz w:val="32"/>
          <w:szCs w:val="32"/>
          <w:lang w:val="zh-CN" w:eastAsia="zh-CN"/>
        </w:rPr>
        <w:t>项目资金由省级财政下拨，</w:t>
      </w:r>
      <w:r>
        <w:rPr>
          <w:rFonts w:hint="default" w:ascii="Times New Roman" w:hAnsi="Times New Roman" w:eastAsia="仿宋_GB2312" w:cs="Times New Roman"/>
          <w:sz w:val="32"/>
          <w:szCs w:val="32"/>
          <w:lang w:val="en-US" w:eastAsia="zh-CN"/>
        </w:rPr>
        <w:t>市社会保险事务中心</w:t>
      </w:r>
      <w:r>
        <w:rPr>
          <w:rFonts w:hint="default" w:ascii="Times New Roman" w:hAnsi="Times New Roman" w:eastAsia="仿宋_GB2312" w:cs="Times New Roman"/>
          <w:sz w:val="32"/>
          <w:szCs w:val="32"/>
          <w:lang w:val="zh-CN" w:eastAsia="zh-CN"/>
        </w:rPr>
        <w:t>在“预算管理一体化系统”中申报项目资金，市级财政完成批复并下达指标。</w:t>
      </w:r>
    </w:p>
    <w:p w14:paraId="70B14D21">
      <w:pPr>
        <w:keepNext w:val="0"/>
        <w:keepLines w:val="0"/>
        <w:pageBreakBefore w:val="0"/>
        <w:kinsoku/>
        <w:wordWrap/>
        <w:overflowPunct/>
        <w:topLinePunct w:val="0"/>
        <w:autoSpaceDE/>
        <w:autoSpaceDN/>
        <w:bidi w:val="0"/>
        <w:adjustRightInd w:val="0"/>
        <w:snapToGrid w:val="0"/>
        <w:spacing w:line="600" w:lineRule="exact"/>
        <w:ind w:firstLine="720"/>
        <w:textAlignment w:val="auto"/>
        <w:rPr>
          <w:rFonts w:hint="default" w:ascii="Times New Roman" w:hAnsi="Times New Roman" w:cs="Times New Roman"/>
          <w:sz w:val="32"/>
          <w:szCs w:val="32"/>
          <w:lang w:val="zh-CN"/>
        </w:rPr>
      </w:pPr>
      <w:r>
        <w:rPr>
          <w:rFonts w:hint="default" w:ascii="Times New Roman" w:hAnsi="Times New Roman" w:eastAsia="楷体_GB2312" w:cs="Times New Roman"/>
          <w:b/>
          <w:sz w:val="32"/>
          <w:szCs w:val="32"/>
          <w:lang w:val="zh-CN"/>
        </w:rPr>
        <w:t>（二）资金计划、到位及使用情况</w:t>
      </w:r>
    </w:p>
    <w:p w14:paraId="2FB8EC82">
      <w:pPr>
        <w:keepNext w:val="0"/>
        <w:keepLines w:val="0"/>
        <w:pageBreakBefore w:val="0"/>
        <w:kinsoku/>
        <w:wordWrap/>
        <w:overflowPunct/>
        <w:topLinePunct w:val="0"/>
        <w:autoSpaceDE/>
        <w:autoSpaceDN/>
        <w:bidi w:val="0"/>
        <w:adjustRightInd w:val="0"/>
        <w:snapToGrid w:val="0"/>
        <w:spacing w:line="600" w:lineRule="exact"/>
        <w:ind w:firstLine="720"/>
        <w:textAlignment w:val="auto"/>
        <w:rPr>
          <w:rFonts w:hint="default" w:ascii="Times New Roman" w:hAnsi="Times New Roman" w:eastAsia="楷体_GB2312" w:cs="Times New Roman"/>
          <w:sz w:val="32"/>
          <w:szCs w:val="32"/>
          <w:lang w:val="zh-CN"/>
        </w:rPr>
      </w:pPr>
      <w:r>
        <w:rPr>
          <w:rFonts w:hint="eastAsia" w:ascii="Times New Roman" w:hAnsi="Times New Roman" w:eastAsia="楷体_GB2312" w:cs="Times New Roman"/>
          <w:sz w:val="32"/>
          <w:szCs w:val="32"/>
          <w:lang w:val="en-US" w:eastAsia="zh-CN"/>
        </w:rPr>
        <w:t>1.</w:t>
      </w:r>
      <w:r>
        <w:rPr>
          <w:rFonts w:hint="default" w:ascii="Times New Roman" w:hAnsi="Times New Roman" w:eastAsia="楷体_GB2312" w:cs="Times New Roman"/>
          <w:sz w:val="32"/>
          <w:szCs w:val="32"/>
          <w:lang w:val="zh-CN"/>
        </w:rPr>
        <w:t>资金计划。</w:t>
      </w:r>
    </w:p>
    <w:p w14:paraId="2BBF1B28">
      <w:pPr>
        <w:keepNext w:val="0"/>
        <w:keepLines w:val="0"/>
        <w:pageBreakBefore w:val="0"/>
        <w:numPr>
          <w:ilvl w:val="0"/>
          <w:numId w:val="0"/>
        </w:numPr>
        <w:kinsoku/>
        <w:wordWrap/>
        <w:overflowPunct/>
        <w:topLinePunct w:val="0"/>
        <w:autoSpaceDE/>
        <w:autoSpaceDN/>
        <w:bidi w:val="0"/>
        <w:spacing w:line="600" w:lineRule="exact"/>
        <w:ind w:firstLine="640" w:firstLineChars="200"/>
        <w:jc w:val="both"/>
        <w:textAlignment w:val="auto"/>
        <w:rPr>
          <w:rFonts w:hint="default" w:ascii="Times New Roman" w:hAnsi="Times New Roman" w:eastAsia="仿宋_GB2312" w:cs="Times New Roman"/>
          <w:sz w:val="32"/>
          <w:szCs w:val="32"/>
          <w:lang w:val="zh-CN" w:eastAsia="zh-CN"/>
        </w:rPr>
      </w:pPr>
      <w:r>
        <w:rPr>
          <w:rFonts w:hint="default" w:ascii="Times New Roman" w:hAnsi="Times New Roman" w:eastAsia="仿宋_GB2312" w:cs="Times New Roman"/>
          <w:sz w:val="32"/>
          <w:szCs w:val="32"/>
          <w:lang w:val="zh-CN" w:eastAsia="zh-CN"/>
        </w:rPr>
        <w:t>此项目资金</w:t>
      </w:r>
      <w:r>
        <w:rPr>
          <w:rFonts w:hint="default" w:ascii="Times New Roman" w:hAnsi="Times New Roman" w:eastAsia="仿宋_GB2312" w:cs="Times New Roman"/>
          <w:sz w:val="32"/>
          <w:szCs w:val="32"/>
          <w:lang w:val="en-US" w:eastAsia="zh-CN"/>
        </w:rPr>
        <w:t>16.8万元，</w:t>
      </w:r>
      <w:r>
        <w:rPr>
          <w:rFonts w:hint="default" w:ascii="Times New Roman" w:hAnsi="Times New Roman" w:eastAsia="仿宋_GB2312" w:cs="Times New Roman"/>
          <w:sz w:val="32"/>
          <w:szCs w:val="32"/>
          <w:lang w:val="zh-CN" w:eastAsia="zh-CN"/>
        </w:rPr>
        <w:t>用于市社会保险事务</w:t>
      </w:r>
      <w:r>
        <w:rPr>
          <w:rFonts w:hint="default" w:ascii="Times New Roman" w:hAnsi="Times New Roman" w:eastAsia="仿宋_GB2312" w:cs="Times New Roman"/>
          <w:sz w:val="32"/>
          <w:szCs w:val="32"/>
          <w:lang w:val="en-US" w:eastAsia="zh-CN"/>
        </w:rPr>
        <w:t>中心</w:t>
      </w:r>
      <w:r>
        <w:rPr>
          <w:rFonts w:hint="default" w:ascii="Times New Roman" w:hAnsi="Times New Roman" w:eastAsia="仿宋_GB2312" w:cs="Times New Roman"/>
          <w:sz w:val="32"/>
          <w:szCs w:val="32"/>
          <w:lang w:val="zh-CN" w:eastAsia="zh-CN"/>
        </w:rPr>
        <w:t>社保公共服务能力建设</w:t>
      </w:r>
      <w:r>
        <w:rPr>
          <w:rFonts w:hint="default" w:ascii="Times New Roman" w:hAnsi="Times New Roman" w:eastAsia="仿宋_GB2312" w:cs="Times New Roman"/>
          <w:sz w:val="32"/>
          <w:szCs w:val="32"/>
          <w:lang w:val="en-US" w:eastAsia="zh-CN"/>
        </w:rPr>
        <w:t>所需</w:t>
      </w:r>
      <w:r>
        <w:rPr>
          <w:rFonts w:hint="default" w:ascii="Times New Roman" w:hAnsi="Times New Roman" w:eastAsia="仿宋_GB2312" w:cs="Times New Roman"/>
          <w:sz w:val="32"/>
          <w:szCs w:val="32"/>
          <w:lang w:val="zh-CN" w:eastAsia="zh-CN"/>
        </w:rPr>
        <w:t>的信息系统建设及运行维护、设施设备购置、经办人员能力素质提升培训及风险防控等支出。</w:t>
      </w:r>
    </w:p>
    <w:p w14:paraId="63602DFC">
      <w:pPr>
        <w:keepNext w:val="0"/>
        <w:keepLines w:val="0"/>
        <w:pageBreakBefore w:val="0"/>
        <w:numPr>
          <w:ilvl w:val="0"/>
          <w:numId w:val="0"/>
        </w:numPr>
        <w:kinsoku/>
        <w:wordWrap/>
        <w:overflowPunct/>
        <w:topLinePunct w:val="0"/>
        <w:autoSpaceDE/>
        <w:autoSpaceDN/>
        <w:bidi w:val="0"/>
        <w:adjustRightInd w:val="0"/>
        <w:snapToGrid w:val="0"/>
        <w:spacing w:line="600" w:lineRule="exact"/>
        <w:ind w:firstLine="640" w:firstLineChars="200"/>
        <w:textAlignment w:val="auto"/>
        <w:rPr>
          <w:rFonts w:hint="default" w:ascii="Times New Roman" w:hAnsi="Times New Roman" w:eastAsia="楷体_GB2312" w:cs="Times New Roman"/>
          <w:sz w:val="32"/>
          <w:szCs w:val="32"/>
          <w:lang w:val="zh-CN"/>
        </w:rPr>
      </w:pPr>
      <w:r>
        <w:rPr>
          <w:rFonts w:hint="eastAsia" w:ascii="Times New Roman" w:hAnsi="Times New Roman" w:eastAsia="楷体_GB2312" w:cs="Times New Roman"/>
          <w:sz w:val="32"/>
          <w:szCs w:val="32"/>
          <w:lang w:val="en-US" w:eastAsia="zh-CN"/>
        </w:rPr>
        <w:t>2.</w:t>
      </w:r>
      <w:r>
        <w:rPr>
          <w:rFonts w:hint="default" w:ascii="Times New Roman" w:hAnsi="Times New Roman" w:eastAsia="楷体_GB2312" w:cs="Times New Roman"/>
          <w:sz w:val="32"/>
          <w:szCs w:val="32"/>
          <w:lang w:val="zh-CN"/>
        </w:rPr>
        <w:t>资金到位。</w:t>
      </w:r>
    </w:p>
    <w:p w14:paraId="02049209">
      <w:pPr>
        <w:keepNext w:val="0"/>
        <w:keepLines w:val="0"/>
        <w:pageBreakBefore w:val="0"/>
        <w:widowControl/>
        <w:kinsoku/>
        <w:wordWrap/>
        <w:overflowPunct/>
        <w:topLinePunct w:val="0"/>
        <w:autoSpaceDE/>
        <w:autoSpaceDN/>
        <w:bidi w:val="0"/>
        <w:spacing w:line="600" w:lineRule="exact"/>
        <w:ind w:firstLine="640" w:firstLineChars="200"/>
        <w:jc w:val="left"/>
        <w:textAlignment w:val="auto"/>
        <w:rPr>
          <w:rFonts w:hint="default" w:ascii="Times New Roman" w:hAnsi="Times New Roman" w:eastAsia="仿宋_GB2312" w:cs="Times New Roman"/>
          <w:sz w:val="32"/>
          <w:szCs w:val="32"/>
          <w:lang w:val="zh-CN" w:eastAsia="zh-CN"/>
        </w:rPr>
      </w:pPr>
      <w:r>
        <w:rPr>
          <w:rFonts w:hint="default" w:ascii="Times New Roman" w:hAnsi="Times New Roman" w:eastAsia="仿宋_GB2312" w:cs="Times New Roman"/>
          <w:sz w:val="32"/>
          <w:szCs w:val="32"/>
          <w:lang w:val="zh-CN" w:eastAsia="zh-CN"/>
        </w:rPr>
        <w:t>此项目资金</w:t>
      </w:r>
      <w:r>
        <w:rPr>
          <w:rFonts w:hint="default" w:ascii="Times New Roman" w:hAnsi="Times New Roman" w:eastAsia="仿宋_GB2312" w:cs="Times New Roman"/>
          <w:sz w:val="32"/>
          <w:szCs w:val="32"/>
          <w:lang w:val="en-US" w:eastAsia="zh-CN"/>
        </w:rPr>
        <w:t>16.8</w:t>
      </w:r>
      <w:r>
        <w:rPr>
          <w:rFonts w:hint="default" w:ascii="Times New Roman" w:hAnsi="Times New Roman" w:eastAsia="仿宋_GB2312" w:cs="Times New Roman"/>
          <w:sz w:val="32"/>
          <w:szCs w:val="32"/>
          <w:lang w:val="zh-CN" w:eastAsia="zh-CN"/>
        </w:rPr>
        <w:t>万元，于202</w:t>
      </w:r>
      <w:r>
        <w:rPr>
          <w:rFonts w:hint="default" w:ascii="Times New Roman" w:hAnsi="Times New Roman" w:eastAsia="仿宋_GB2312" w:cs="Times New Roman"/>
          <w:sz w:val="32"/>
          <w:szCs w:val="32"/>
          <w:lang w:val="en-US" w:eastAsia="zh-CN"/>
        </w:rPr>
        <w:t>4</w:t>
      </w:r>
      <w:r>
        <w:rPr>
          <w:rFonts w:hint="default" w:ascii="Times New Roman" w:hAnsi="Times New Roman" w:eastAsia="仿宋_GB2312" w:cs="Times New Roman"/>
          <w:sz w:val="32"/>
          <w:szCs w:val="32"/>
          <w:lang w:val="zh-CN" w:eastAsia="zh-CN"/>
        </w:rPr>
        <w:t>年中由市级财政批复并下达预算指标，到位率100%。</w:t>
      </w:r>
    </w:p>
    <w:p w14:paraId="78272233">
      <w:pPr>
        <w:keepNext w:val="0"/>
        <w:keepLines w:val="0"/>
        <w:pageBreakBefore w:val="0"/>
        <w:kinsoku/>
        <w:wordWrap/>
        <w:overflowPunct/>
        <w:topLinePunct w:val="0"/>
        <w:autoSpaceDE/>
        <w:autoSpaceDN/>
        <w:bidi w:val="0"/>
        <w:adjustRightInd w:val="0"/>
        <w:snapToGrid w:val="0"/>
        <w:spacing w:line="600" w:lineRule="exact"/>
        <w:ind w:firstLine="720"/>
        <w:textAlignment w:val="auto"/>
        <w:rPr>
          <w:rFonts w:hint="default" w:ascii="Times New Roman" w:hAnsi="Times New Roman" w:eastAsia="楷体_GB2312" w:cs="Times New Roman"/>
          <w:sz w:val="32"/>
          <w:szCs w:val="32"/>
          <w:lang w:val="zh-CN"/>
        </w:rPr>
      </w:pPr>
      <w:r>
        <w:rPr>
          <w:rFonts w:hint="eastAsia" w:ascii="Times New Roman" w:hAnsi="Times New Roman" w:eastAsia="楷体_GB2312" w:cs="Times New Roman"/>
          <w:sz w:val="32"/>
          <w:szCs w:val="32"/>
          <w:lang w:val="en-US" w:eastAsia="zh-CN"/>
        </w:rPr>
        <w:t>3.</w:t>
      </w:r>
      <w:r>
        <w:rPr>
          <w:rFonts w:hint="default" w:ascii="Times New Roman" w:hAnsi="Times New Roman" w:eastAsia="楷体_GB2312" w:cs="Times New Roman"/>
          <w:sz w:val="32"/>
          <w:szCs w:val="32"/>
          <w:lang w:val="zh-CN"/>
        </w:rPr>
        <w:t>资金使用。</w:t>
      </w:r>
    </w:p>
    <w:p w14:paraId="7EF61A7D">
      <w:pPr>
        <w:keepNext w:val="0"/>
        <w:keepLines w:val="0"/>
        <w:pageBreakBefore w:val="0"/>
        <w:widowControl/>
        <w:kinsoku/>
        <w:wordWrap/>
        <w:overflowPunct/>
        <w:topLinePunct w:val="0"/>
        <w:autoSpaceDE/>
        <w:autoSpaceDN/>
        <w:bidi w:val="0"/>
        <w:spacing w:line="600" w:lineRule="exact"/>
        <w:ind w:firstLine="640" w:firstLineChars="200"/>
        <w:jc w:val="both"/>
        <w:textAlignment w:val="auto"/>
        <w:rPr>
          <w:rFonts w:hint="default" w:ascii="Times New Roman" w:hAnsi="Times New Roman" w:eastAsia="仿宋_GB2312" w:cs="Times New Roman"/>
          <w:sz w:val="32"/>
          <w:szCs w:val="32"/>
          <w:lang w:val="zh-CN" w:eastAsia="zh-CN"/>
        </w:rPr>
      </w:pPr>
      <w:r>
        <w:rPr>
          <w:rFonts w:hint="default" w:ascii="Times New Roman" w:hAnsi="Times New Roman" w:eastAsia="仿宋_GB2312" w:cs="Times New Roman"/>
          <w:sz w:val="32"/>
          <w:szCs w:val="32"/>
          <w:lang w:val="zh-CN" w:eastAsia="zh-CN"/>
        </w:rPr>
        <w:t>此项目资金主要用于</w:t>
      </w:r>
      <w:r>
        <w:rPr>
          <w:rFonts w:hint="eastAsia" w:ascii="Times New Roman" w:hAnsi="Times New Roman" w:eastAsia="仿宋_GB2312" w:cs="Times New Roman"/>
          <w:sz w:val="32"/>
          <w:szCs w:val="32"/>
          <w:lang w:val="en-US" w:eastAsia="zh-CN"/>
        </w:rPr>
        <w:t>攀枝花</w:t>
      </w:r>
      <w:r>
        <w:rPr>
          <w:rFonts w:hint="default" w:ascii="Times New Roman" w:hAnsi="Times New Roman" w:eastAsia="仿宋_GB2312" w:cs="Times New Roman"/>
          <w:sz w:val="32"/>
          <w:szCs w:val="32"/>
          <w:lang w:val="zh-CN" w:eastAsia="zh-CN"/>
        </w:rPr>
        <w:t>市社会保险事务中心社保公共服务能力建设所需的信息系统建设及运行维护、设施设备购置、经办人员能力素质提升培训及风险防控等支出。资金到位后，</w:t>
      </w:r>
      <w:r>
        <w:rPr>
          <w:rFonts w:hint="eastAsia" w:ascii="Times New Roman" w:hAnsi="Times New Roman" w:eastAsia="仿宋_GB2312" w:cs="Times New Roman"/>
          <w:sz w:val="32"/>
          <w:szCs w:val="32"/>
          <w:lang w:val="en-US" w:eastAsia="zh-CN"/>
        </w:rPr>
        <w:t>攀枝花</w:t>
      </w:r>
      <w:r>
        <w:rPr>
          <w:rFonts w:hint="default" w:ascii="Times New Roman" w:hAnsi="Times New Roman" w:eastAsia="仿宋_GB2312" w:cs="Times New Roman"/>
          <w:sz w:val="32"/>
          <w:szCs w:val="32"/>
          <w:lang w:val="zh-CN" w:eastAsia="zh-CN"/>
        </w:rPr>
        <w:t>市社会保险事务中心严格按财经纪律、财务管理等相关规定，严格审核各项支出，及时支付，资金支付完成100%。</w:t>
      </w:r>
    </w:p>
    <w:p w14:paraId="41E8F3EF">
      <w:pPr>
        <w:keepNext w:val="0"/>
        <w:keepLines w:val="0"/>
        <w:pageBreakBefore w:val="0"/>
        <w:kinsoku/>
        <w:wordWrap/>
        <w:overflowPunct/>
        <w:topLinePunct w:val="0"/>
        <w:autoSpaceDE/>
        <w:autoSpaceDN/>
        <w:bidi w:val="0"/>
        <w:adjustRightInd w:val="0"/>
        <w:snapToGrid w:val="0"/>
        <w:spacing w:line="600" w:lineRule="exact"/>
        <w:ind w:firstLine="720"/>
        <w:textAlignment w:val="auto"/>
        <w:rPr>
          <w:rFonts w:hint="default" w:ascii="Times New Roman" w:hAnsi="Times New Roman" w:eastAsia="楷体_GB2312" w:cs="Times New Roman"/>
          <w:b/>
          <w:sz w:val="32"/>
          <w:szCs w:val="32"/>
          <w:lang w:val="zh-CN"/>
        </w:rPr>
      </w:pPr>
      <w:r>
        <w:rPr>
          <w:rFonts w:hint="default" w:ascii="Times New Roman" w:hAnsi="Times New Roman" w:eastAsia="楷体_GB2312" w:cs="Times New Roman"/>
          <w:b/>
          <w:sz w:val="32"/>
          <w:szCs w:val="32"/>
          <w:lang w:val="zh-CN"/>
        </w:rPr>
        <w:t>（三）项目财务管理情况</w:t>
      </w:r>
    </w:p>
    <w:p w14:paraId="12BAAF2B">
      <w:pPr>
        <w:keepNext w:val="0"/>
        <w:keepLines w:val="0"/>
        <w:pageBreakBefore w:val="0"/>
        <w:widowControl/>
        <w:kinsoku/>
        <w:wordWrap/>
        <w:overflowPunct/>
        <w:topLinePunct w:val="0"/>
        <w:autoSpaceDE/>
        <w:autoSpaceDN/>
        <w:bidi w:val="0"/>
        <w:spacing w:line="600" w:lineRule="exact"/>
        <w:ind w:firstLine="640" w:firstLineChars="200"/>
        <w:jc w:val="left"/>
        <w:textAlignment w:val="auto"/>
        <w:rPr>
          <w:rFonts w:hint="default" w:ascii="Times New Roman" w:hAnsi="Times New Roman" w:eastAsia="仿宋_GB2312" w:cs="Times New Roman"/>
          <w:sz w:val="32"/>
          <w:szCs w:val="32"/>
          <w:lang w:val="zh-CN" w:eastAsia="zh-CN"/>
        </w:rPr>
      </w:pPr>
      <w:r>
        <w:rPr>
          <w:rFonts w:hint="eastAsia" w:ascii="Times New Roman" w:hAnsi="Times New Roman" w:eastAsia="仿宋_GB2312" w:cs="Times New Roman"/>
          <w:sz w:val="32"/>
          <w:szCs w:val="32"/>
          <w:lang w:val="en-US" w:eastAsia="zh-CN"/>
        </w:rPr>
        <w:t>攀枝花</w:t>
      </w:r>
      <w:r>
        <w:rPr>
          <w:rFonts w:hint="default" w:ascii="Times New Roman" w:hAnsi="Times New Roman" w:eastAsia="仿宋_GB2312" w:cs="Times New Roman"/>
          <w:sz w:val="32"/>
          <w:szCs w:val="32"/>
          <w:lang w:val="zh-CN" w:eastAsia="zh-CN"/>
        </w:rPr>
        <w:t>市社会保险事务中心建立了财务管理制度，由办公室统一管理“社保公共服务能力建设资金”项目资金，严格按照上级要求上报资金使用计划，并在实施过程中做到资金专项专用。所有支出严格按照财务会计管理规定，做到资金使用有计划、审批有手续、支出合理规范。并及时进行账务处理和会计核算，按财政要求及时编制和公开项目资金绩效目标。</w:t>
      </w:r>
    </w:p>
    <w:p w14:paraId="098E058B">
      <w:pPr>
        <w:keepNext w:val="0"/>
        <w:keepLines w:val="0"/>
        <w:pageBreakBefore w:val="0"/>
        <w:kinsoku/>
        <w:wordWrap/>
        <w:overflowPunct/>
        <w:topLinePunct w:val="0"/>
        <w:autoSpaceDE/>
        <w:autoSpaceDN/>
        <w:bidi w:val="0"/>
        <w:adjustRightInd w:val="0"/>
        <w:snapToGrid w:val="0"/>
        <w:spacing w:line="600" w:lineRule="exact"/>
        <w:ind w:firstLine="72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三、项目实施及管理情况</w:t>
      </w:r>
    </w:p>
    <w:p w14:paraId="7CAB0A19">
      <w:pPr>
        <w:keepNext w:val="0"/>
        <w:keepLines w:val="0"/>
        <w:pageBreakBefore w:val="0"/>
        <w:numPr>
          <w:ilvl w:val="0"/>
          <w:numId w:val="0"/>
        </w:numPr>
        <w:kinsoku/>
        <w:wordWrap/>
        <w:overflowPunct/>
        <w:topLinePunct w:val="0"/>
        <w:autoSpaceDE/>
        <w:autoSpaceDN/>
        <w:bidi w:val="0"/>
        <w:adjustRightInd w:val="0"/>
        <w:snapToGrid w:val="0"/>
        <w:spacing w:line="600" w:lineRule="exact"/>
        <w:ind w:firstLine="640" w:firstLineChars="200"/>
        <w:textAlignment w:val="auto"/>
        <w:rPr>
          <w:rFonts w:hint="default" w:ascii="Times New Roman" w:hAnsi="Times New Roman" w:eastAsia="楷体_GB2312" w:cs="Times New Roman"/>
          <w:b/>
          <w:sz w:val="32"/>
          <w:szCs w:val="32"/>
          <w:lang w:val="zh-CN"/>
        </w:rPr>
      </w:pPr>
      <w:r>
        <w:rPr>
          <w:rFonts w:hint="eastAsia" w:ascii="Times New Roman" w:hAnsi="Times New Roman" w:eastAsia="楷体_GB2312" w:cs="Times New Roman"/>
          <w:b/>
          <w:sz w:val="32"/>
          <w:szCs w:val="32"/>
          <w:lang w:val="zh-CN"/>
        </w:rPr>
        <w:t>（</w:t>
      </w:r>
      <w:r>
        <w:rPr>
          <w:rFonts w:hint="eastAsia" w:ascii="Times New Roman" w:hAnsi="Times New Roman" w:eastAsia="楷体_GB2312" w:cs="Times New Roman"/>
          <w:b/>
          <w:sz w:val="32"/>
          <w:szCs w:val="32"/>
          <w:lang w:val="en-US" w:eastAsia="zh-CN"/>
        </w:rPr>
        <w:t>一</w:t>
      </w:r>
      <w:r>
        <w:rPr>
          <w:rFonts w:hint="eastAsia" w:ascii="Times New Roman" w:hAnsi="Times New Roman" w:eastAsia="楷体_GB2312" w:cs="Times New Roman"/>
          <w:b/>
          <w:sz w:val="32"/>
          <w:szCs w:val="32"/>
          <w:lang w:val="zh-CN"/>
        </w:rPr>
        <w:t>）</w:t>
      </w:r>
      <w:r>
        <w:rPr>
          <w:rFonts w:hint="default" w:ascii="Times New Roman" w:hAnsi="Times New Roman" w:eastAsia="楷体_GB2312" w:cs="Times New Roman"/>
          <w:b/>
          <w:sz w:val="32"/>
          <w:szCs w:val="32"/>
          <w:lang w:val="zh-CN"/>
        </w:rPr>
        <w:t>项目组织架构及实施流程</w:t>
      </w:r>
    </w:p>
    <w:p w14:paraId="7802E935">
      <w:pPr>
        <w:keepNext w:val="0"/>
        <w:keepLines w:val="0"/>
        <w:pageBreakBefore w:val="0"/>
        <w:widowControl/>
        <w:kinsoku/>
        <w:wordWrap/>
        <w:overflowPunct/>
        <w:topLinePunct w:val="0"/>
        <w:autoSpaceDE/>
        <w:autoSpaceDN/>
        <w:bidi w:val="0"/>
        <w:spacing w:line="600" w:lineRule="exact"/>
        <w:ind w:firstLine="640" w:firstLineChars="200"/>
        <w:jc w:val="both"/>
        <w:textAlignment w:val="auto"/>
        <w:rPr>
          <w:rFonts w:hint="default" w:ascii="Times New Roman" w:hAnsi="Times New Roman" w:eastAsia="仿宋_GB2312" w:cs="Times New Roman"/>
          <w:sz w:val="32"/>
          <w:szCs w:val="32"/>
          <w:lang w:val="zh-CN" w:eastAsia="zh-CN"/>
        </w:rPr>
      </w:pPr>
      <w:r>
        <w:rPr>
          <w:rFonts w:hint="default" w:ascii="Times New Roman" w:hAnsi="Times New Roman" w:eastAsia="仿宋_GB2312" w:cs="Times New Roman"/>
          <w:sz w:val="32"/>
          <w:szCs w:val="32"/>
          <w:lang w:val="zh-CN" w:eastAsia="zh-CN"/>
        </w:rPr>
        <w:t>办公室在部门预算中申报项目资金，并制定绩效目标；按照项目执行情况在“预算管理一体化系统”中完成资金的申请和支付。</w:t>
      </w:r>
      <w:r>
        <w:rPr>
          <w:rFonts w:hint="default" w:ascii="Times New Roman" w:hAnsi="Times New Roman" w:eastAsia="仿宋_GB2312" w:cs="Times New Roman"/>
          <w:sz w:val="32"/>
          <w:szCs w:val="32"/>
          <w:lang w:val="en-US" w:eastAsia="zh-CN"/>
        </w:rPr>
        <w:t>稽核科成立项目督导检查工作小组，不定期对项目执行进度情况进行督导检查</w:t>
      </w:r>
      <w:r>
        <w:rPr>
          <w:rFonts w:hint="default" w:ascii="Times New Roman" w:hAnsi="Times New Roman" w:eastAsia="仿宋_GB2312" w:cs="Times New Roman"/>
          <w:sz w:val="32"/>
          <w:szCs w:val="32"/>
          <w:lang w:val="zh-CN" w:eastAsia="zh-CN"/>
        </w:rPr>
        <w:t>。</w:t>
      </w:r>
    </w:p>
    <w:p w14:paraId="0C423C53">
      <w:pPr>
        <w:keepNext w:val="0"/>
        <w:keepLines w:val="0"/>
        <w:pageBreakBefore w:val="0"/>
        <w:numPr>
          <w:ilvl w:val="0"/>
          <w:numId w:val="0"/>
        </w:numPr>
        <w:kinsoku/>
        <w:wordWrap/>
        <w:overflowPunct/>
        <w:topLinePunct w:val="0"/>
        <w:autoSpaceDE/>
        <w:autoSpaceDN/>
        <w:bidi w:val="0"/>
        <w:adjustRightInd w:val="0"/>
        <w:snapToGrid w:val="0"/>
        <w:spacing w:line="600" w:lineRule="exact"/>
        <w:ind w:firstLine="640" w:firstLineChars="200"/>
        <w:textAlignment w:val="auto"/>
        <w:rPr>
          <w:rFonts w:hint="default" w:ascii="Times New Roman" w:hAnsi="Times New Roman" w:eastAsia="楷体_GB2312" w:cs="Times New Roman"/>
          <w:b/>
          <w:sz w:val="32"/>
          <w:szCs w:val="32"/>
          <w:lang w:val="zh-CN"/>
        </w:rPr>
      </w:pPr>
      <w:r>
        <w:rPr>
          <w:rFonts w:hint="eastAsia" w:ascii="Times New Roman" w:hAnsi="Times New Roman" w:eastAsia="楷体_GB2312" w:cs="Times New Roman"/>
          <w:b/>
          <w:sz w:val="32"/>
          <w:szCs w:val="32"/>
          <w:lang w:val="zh-CN"/>
        </w:rPr>
        <w:t>（</w:t>
      </w:r>
      <w:r>
        <w:rPr>
          <w:rFonts w:hint="eastAsia" w:ascii="Times New Roman" w:hAnsi="Times New Roman" w:eastAsia="楷体_GB2312" w:cs="Times New Roman"/>
          <w:b/>
          <w:sz w:val="32"/>
          <w:szCs w:val="32"/>
          <w:lang w:val="en-US" w:eastAsia="zh-CN"/>
        </w:rPr>
        <w:t>二</w:t>
      </w:r>
      <w:r>
        <w:rPr>
          <w:rFonts w:hint="eastAsia" w:ascii="Times New Roman" w:hAnsi="Times New Roman" w:eastAsia="楷体_GB2312" w:cs="Times New Roman"/>
          <w:b/>
          <w:sz w:val="32"/>
          <w:szCs w:val="32"/>
          <w:lang w:val="zh-CN"/>
        </w:rPr>
        <w:t>）</w:t>
      </w:r>
      <w:r>
        <w:rPr>
          <w:rFonts w:hint="default" w:ascii="Times New Roman" w:hAnsi="Times New Roman" w:eastAsia="楷体_GB2312" w:cs="Times New Roman"/>
          <w:b/>
          <w:sz w:val="32"/>
          <w:szCs w:val="32"/>
          <w:lang w:val="zh-CN"/>
        </w:rPr>
        <w:t>项目管理情况</w:t>
      </w:r>
    </w:p>
    <w:p w14:paraId="2A8C7808">
      <w:pPr>
        <w:keepNext w:val="0"/>
        <w:keepLines w:val="0"/>
        <w:pageBreakBefore w:val="0"/>
        <w:widowControl/>
        <w:kinsoku/>
        <w:wordWrap/>
        <w:overflowPunct/>
        <w:topLinePunct w:val="0"/>
        <w:autoSpaceDE/>
        <w:autoSpaceDN/>
        <w:bidi w:val="0"/>
        <w:spacing w:line="600" w:lineRule="exact"/>
        <w:ind w:firstLine="640" w:firstLineChars="200"/>
        <w:jc w:val="both"/>
        <w:textAlignment w:val="auto"/>
        <w:rPr>
          <w:rFonts w:hint="default" w:ascii="Times New Roman" w:hAnsi="Times New Roman" w:eastAsia="仿宋_GB2312" w:cs="Times New Roman"/>
          <w:sz w:val="32"/>
          <w:szCs w:val="32"/>
          <w:lang w:val="zh-CN" w:eastAsia="zh-CN"/>
        </w:rPr>
      </w:pPr>
      <w:r>
        <w:rPr>
          <w:rFonts w:hint="default" w:ascii="Times New Roman" w:hAnsi="Times New Roman" w:eastAsia="仿宋_GB2312" w:cs="Times New Roman"/>
          <w:sz w:val="32"/>
          <w:szCs w:val="32"/>
          <w:lang w:val="zh-CN" w:eastAsia="zh-CN"/>
        </w:rPr>
        <w:t>严格按照《四川省财政厅</w:t>
      </w:r>
      <w:r>
        <w:rPr>
          <w:rFonts w:hint="eastAsia"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lang w:val="zh-CN" w:eastAsia="zh-CN"/>
        </w:rPr>
        <w:t>四川省人力资源和社会保障厅关于印发</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zh-CN" w:eastAsia="zh-CN"/>
        </w:rPr>
        <w:t>四川省省级财政人社公共服务能力建设补助资金管理办法</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zh-CN" w:eastAsia="zh-CN"/>
        </w:rPr>
        <w:t>的通知》（川财社〔2023〕33号）文件要求使用项目资金。</w:t>
      </w:r>
    </w:p>
    <w:p w14:paraId="31B4E094">
      <w:pPr>
        <w:keepNext w:val="0"/>
        <w:keepLines w:val="0"/>
        <w:pageBreakBefore w:val="0"/>
        <w:numPr>
          <w:ilvl w:val="0"/>
          <w:numId w:val="0"/>
        </w:numPr>
        <w:kinsoku/>
        <w:wordWrap/>
        <w:overflowPunct/>
        <w:topLinePunct w:val="0"/>
        <w:autoSpaceDE/>
        <w:autoSpaceDN/>
        <w:bidi w:val="0"/>
        <w:adjustRightInd w:val="0"/>
        <w:snapToGrid w:val="0"/>
        <w:spacing w:line="600" w:lineRule="exact"/>
        <w:ind w:left="720" w:leftChars="0"/>
        <w:textAlignment w:val="auto"/>
        <w:rPr>
          <w:rFonts w:hint="default" w:ascii="Times New Roman" w:hAnsi="Times New Roman" w:cs="Times New Roman"/>
          <w:sz w:val="32"/>
          <w:szCs w:val="32"/>
          <w:lang w:val="zh-CN"/>
        </w:rPr>
      </w:pPr>
      <w:r>
        <w:rPr>
          <w:rFonts w:hint="default" w:ascii="Times New Roman" w:hAnsi="Times New Roman" w:eastAsia="楷体_GB2312" w:cs="Times New Roman"/>
          <w:b/>
          <w:sz w:val="32"/>
          <w:szCs w:val="32"/>
          <w:lang w:val="zh-CN"/>
        </w:rPr>
        <w:t>（三）项目监管情况</w:t>
      </w:r>
    </w:p>
    <w:p w14:paraId="361BF874">
      <w:pPr>
        <w:keepNext w:val="0"/>
        <w:keepLines w:val="0"/>
        <w:pageBreakBefore w:val="0"/>
        <w:widowControl/>
        <w:kinsoku/>
        <w:wordWrap/>
        <w:overflowPunct/>
        <w:topLinePunct w:val="0"/>
        <w:autoSpaceDE/>
        <w:autoSpaceDN/>
        <w:bidi w:val="0"/>
        <w:spacing w:line="60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攀枝花</w:t>
      </w:r>
      <w:r>
        <w:rPr>
          <w:rFonts w:hint="default" w:ascii="Times New Roman" w:hAnsi="Times New Roman" w:eastAsia="仿宋_GB2312" w:cs="Times New Roman"/>
          <w:sz w:val="32"/>
          <w:szCs w:val="32"/>
          <w:lang w:val="en-US" w:eastAsia="zh-CN"/>
        </w:rPr>
        <w:t>市社会保险事务中心稽核科成立项目督导检查工作小组，不定期对项目执行进度情况进行督导检查，对检查过程中发现的问题及时督促整改，确保了项目按时保质完成。</w:t>
      </w:r>
    </w:p>
    <w:p w14:paraId="5A4797E5">
      <w:pPr>
        <w:keepNext w:val="0"/>
        <w:keepLines w:val="0"/>
        <w:pageBreakBefore w:val="0"/>
        <w:kinsoku/>
        <w:wordWrap/>
        <w:overflowPunct/>
        <w:topLinePunct w:val="0"/>
        <w:autoSpaceDE/>
        <w:autoSpaceDN/>
        <w:bidi w:val="0"/>
        <w:adjustRightInd w:val="0"/>
        <w:snapToGrid w:val="0"/>
        <w:spacing w:line="600" w:lineRule="exact"/>
        <w:ind w:firstLine="720"/>
        <w:textAlignment w:val="auto"/>
        <w:rPr>
          <w:rFonts w:hint="default" w:ascii="Times New Roman" w:hAnsi="Times New Roman" w:cs="Times New Roman"/>
          <w:sz w:val="32"/>
          <w:szCs w:val="32"/>
          <w:lang w:val="zh-CN"/>
        </w:rPr>
      </w:pPr>
      <w:r>
        <w:rPr>
          <w:rFonts w:hint="default" w:ascii="Times New Roman" w:hAnsi="Times New Roman" w:eastAsia="黑体" w:cs="Times New Roman"/>
          <w:sz w:val="32"/>
          <w:szCs w:val="32"/>
        </w:rPr>
        <w:t>四、项目绩效情况</w:t>
      </w:r>
      <w:r>
        <w:rPr>
          <w:rFonts w:hint="default" w:ascii="Times New Roman" w:hAnsi="Times New Roman" w:cs="Times New Roman"/>
          <w:sz w:val="32"/>
          <w:szCs w:val="32"/>
          <w:lang w:val="zh-CN"/>
        </w:rPr>
        <w:tab/>
      </w:r>
    </w:p>
    <w:p w14:paraId="1684D005">
      <w:pPr>
        <w:keepNext w:val="0"/>
        <w:keepLines w:val="0"/>
        <w:pageBreakBefore w:val="0"/>
        <w:kinsoku/>
        <w:wordWrap/>
        <w:overflowPunct/>
        <w:topLinePunct w:val="0"/>
        <w:autoSpaceDE/>
        <w:autoSpaceDN/>
        <w:bidi w:val="0"/>
        <w:adjustRightInd w:val="0"/>
        <w:snapToGrid w:val="0"/>
        <w:spacing w:line="600" w:lineRule="exact"/>
        <w:ind w:firstLine="720"/>
        <w:textAlignment w:val="auto"/>
        <w:rPr>
          <w:rFonts w:hint="default" w:ascii="Times New Roman" w:hAnsi="Times New Roman" w:eastAsia="楷体_GB2312" w:cs="Times New Roman"/>
          <w:b/>
          <w:sz w:val="32"/>
          <w:szCs w:val="32"/>
          <w:lang w:val="zh-CN"/>
        </w:rPr>
      </w:pPr>
      <w:r>
        <w:rPr>
          <w:rFonts w:hint="default" w:ascii="Times New Roman" w:hAnsi="Times New Roman" w:eastAsia="楷体_GB2312" w:cs="Times New Roman"/>
          <w:b/>
          <w:sz w:val="32"/>
          <w:szCs w:val="32"/>
          <w:lang w:val="zh-CN"/>
        </w:rPr>
        <w:t>（一）项目完成情况</w:t>
      </w:r>
    </w:p>
    <w:p w14:paraId="2E683CD1">
      <w:pPr>
        <w:keepNext w:val="0"/>
        <w:keepLines w:val="0"/>
        <w:pageBreakBefore w:val="0"/>
        <w:widowControl/>
        <w:kinsoku/>
        <w:wordWrap/>
        <w:overflowPunct/>
        <w:topLinePunct w:val="0"/>
        <w:autoSpaceDE/>
        <w:autoSpaceDN/>
        <w:bidi w:val="0"/>
        <w:spacing w:line="60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“社保公共服务能力建设资金”项目在当期完成了项目的总体实施，执行率100%。提高社会公众政策知晓度、依法履行社保义务和维护社保合法权益的意识，不断提升社保工作人员经办能力和水平。</w:t>
      </w:r>
    </w:p>
    <w:p w14:paraId="28D50282">
      <w:pPr>
        <w:keepNext w:val="0"/>
        <w:keepLines w:val="0"/>
        <w:pageBreakBefore w:val="0"/>
        <w:numPr>
          <w:ilvl w:val="0"/>
          <w:numId w:val="0"/>
        </w:numPr>
        <w:kinsoku/>
        <w:wordWrap/>
        <w:overflowPunct/>
        <w:topLinePunct w:val="0"/>
        <w:autoSpaceDE/>
        <w:autoSpaceDN/>
        <w:bidi w:val="0"/>
        <w:spacing w:line="60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cs="Times New Roman"/>
          <w:sz w:val="32"/>
          <w:szCs w:val="32"/>
          <w:lang w:eastAsia="zh-CN"/>
        </w:rPr>
        <w:t>（</w:t>
      </w:r>
      <w:r>
        <w:rPr>
          <w:rFonts w:hint="default" w:ascii="Times New Roman" w:hAnsi="Times New Roman" w:cs="Times New Roman"/>
          <w:sz w:val="32"/>
          <w:szCs w:val="32"/>
          <w:lang w:val="en-US" w:eastAsia="zh-CN"/>
        </w:rPr>
        <w:t>1</w:t>
      </w:r>
      <w:r>
        <w:rPr>
          <w:rFonts w:hint="default" w:ascii="Times New Roman" w:hAnsi="Times New Roman" w:cs="Times New Roman"/>
          <w:sz w:val="32"/>
          <w:szCs w:val="32"/>
          <w:lang w:eastAsia="zh-CN"/>
        </w:rPr>
        <w:t>）</w:t>
      </w:r>
      <w:r>
        <w:rPr>
          <w:rFonts w:hint="default" w:ascii="Times New Roman" w:hAnsi="Times New Roman" w:eastAsia="仿宋_GB2312" w:cs="Times New Roman"/>
          <w:sz w:val="32"/>
          <w:szCs w:val="32"/>
        </w:rPr>
        <w:t>质量指标：养老金领取资格认证率</w:t>
      </w:r>
      <w:r>
        <w:rPr>
          <w:rFonts w:hint="default" w:ascii="Times New Roman" w:hAnsi="Times New Roman" w:cs="Times New Roman"/>
          <w:sz w:val="32"/>
          <w:szCs w:val="32"/>
          <w:lang w:eastAsia="zh-CN"/>
        </w:rPr>
        <w:t>达到</w:t>
      </w:r>
      <w:r>
        <w:rPr>
          <w:rFonts w:hint="default" w:ascii="Times New Roman" w:hAnsi="Times New Roman" w:cs="Times New Roman"/>
          <w:sz w:val="32"/>
          <w:szCs w:val="32"/>
          <w:lang w:val="en-US" w:eastAsia="zh-CN"/>
        </w:rPr>
        <w:t>100%。</w:t>
      </w:r>
    </w:p>
    <w:p w14:paraId="3340E535">
      <w:pPr>
        <w:keepNext w:val="0"/>
        <w:keepLines w:val="0"/>
        <w:pageBreakBefore w:val="0"/>
        <w:numPr>
          <w:ilvl w:val="0"/>
          <w:numId w:val="0"/>
        </w:numPr>
        <w:kinsoku/>
        <w:wordWrap/>
        <w:overflowPunct/>
        <w:topLinePunct w:val="0"/>
        <w:autoSpaceDE/>
        <w:autoSpaceDN/>
        <w:bidi w:val="0"/>
        <w:spacing w:line="600" w:lineRule="exact"/>
        <w:ind w:firstLine="640" w:firstLineChars="200"/>
        <w:jc w:val="both"/>
        <w:textAlignment w:val="auto"/>
        <w:rPr>
          <w:rFonts w:hint="default" w:ascii="Times New Roman" w:hAnsi="Times New Roman" w:eastAsia="仿宋_GB2312" w:cs="Times New Roman"/>
          <w:sz w:val="32"/>
          <w:szCs w:val="32"/>
          <w:lang w:eastAsia="zh-CN"/>
        </w:rPr>
      </w:pPr>
      <w:r>
        <w:rPr>
          <w:rFonts w:hint="default" w:ascii="Times New Roman" w:hAnsi="Times New Roman" w:cs="Times New Roman"/>
          <w:sz w:val="32"/>
          <w:szCs w:val="32"/>
          <w:lang w:eastAsia="zh-CN"/>
        </w:rPr>
        <w:t>（</w:t>
      </w:r>
      <w:r>
        <w:rPr>
          <w:rFonts w:hint="default" w:ascii="Times New Roman" w:hAnsi="Times New Roman" w:cs="Times New Roman"/>
          <w:sz w:val="32"/>
          <w:szCs w:val="32"/>
          <w:lang w:val="en-US" w:eastAsia="zh-CN"/>
        </w:rPr>
        <w:t>2</w:t>
      </w:r>
      <w:r>
        <w:rPr>
          <w:rFonts w:hint="default" w:ascii="Times New Roman" w:hAnsi="Times New Roman" w:cs="Times New Roman"/>
          <w:sz w:val="32"/>
          <w:szCs w:val="32"/>
          <w:lang w:eastAsia="zh-CN"/>
        </w:rPr>
        <w:t>）</w:t>
      </w:r>
      <w:r>
        <w:rPr>
          <w:rFonts w:hint="default" w:ascii="Times New Roman" w:hAnsi="Times New Roman" w:eastAsia="仿宋_GB2312" w:cs="Times New Roman"/>
          <w:sz w:val="32"/>
          <w:szCs w:val="32"/>
        </w:rPr>
        <w:t>时效指标：资金在规定时间下达率</w:t>
      </w:r>
      <w:r>
        <w:rPr>
          <w:rFonts w:hint="default" w:ascii="Times New Roman" w:hAnsi="Times New Roman" w:cs="Times New Roman"/>
          <w:sz w:val="32"/>
          <w:szCs w:val="32"/>
          <w:lang w:eastAsia="zh-CN"/>
        </w:rPr>
        <w:t>达到</w:t>
      </w:r>
      <w:r>
        <w:rPr>
          <w:rFonts w:hint="default" w:ascii="Times New Roman" w:hAnsi="Times New Roman" w:cs="Times New Roman"/>
          <w:sz w:val="32"/>
          <w:szCs w:val="32"/>
          <w:lang w:val="en-US" w:eastAsia="zh-CN"/>
        </w:rPr>
        <w:t>100%。</w:t>
      </w:r>
    </w:p>
    <w:p w14:paraId="2ADF605A">
      <w:pPr>
        <w:keepNext w:val="0"/>
        <w:keepLines w:val="0"/>
        <w:pageBreakBefore w:val="0"/>
        <w:widowControl/>
        <w:kinsoku/>
        <w:wordWrap/>
        <w:overflowPunct/>
        <w:topLinePunct w:val="0"/>
        <w:autoSpaceDE/>
        <w:autoSpaceDN/>
        <w:bidi w:val="0"/>
        <w:spacing w:line="600" w:lineRule="exact"/>
        <w:ind w:firstLine="640" w:firstLineChars="200"/>
        <w:jc w:val="both"/>
        <w:textAlignment w:val="auto"/>
        <w:rPr>
          <w:rFonts w:hint="default" w:ascii="Times New Roman" w:hAnsi="Times New Roman" w:cs="Times New Roman"/>
          <w:sz w:val="32"/>
          <w:szCs w:val="32"/>
          <w:lang w:eastAsia="zh-CN"/>
        </w:rPr>
      </w:pPr>
      <w:r>
        <w:rPr>
          <w:rFonts w:hint="default" w:ascii="Times New Roman" w:hAnsi="Times New Roman" w:eastAsia="仿宋_GB2312" w:cs="Times New Roman"/>
          <w:sz w:val="32"/>
          <w:szCs w:val="32"/>
        </w:rPr>
        <w:t>（3）时效指标：企业职工基本养老保险待遇按时足额</w:t>
      </w:r>
      <w:r>
        <w:rPr>
          <w:rFonts w:hint="default" w:ascii="Times New Roman" w:hAnsi="Times New Roman" w:eastAsia="仿宋_GB2312" w:cs="Times New Roman"/>
          <w:sz w:val="32"/>
          <w:szCs w:val="32"/>
          <w:lang w:val="en-US" w:eastAsia="zh-CN"/>
        </w:rPr>
        <w:t>发放率达到100%</w:t>
      </w:r>
      <w:r>
        <w:rPr>
          <w:rFonts w:hint="default" w:ascii="Times New Roman" w:hAnsi="Times New Roman" w:cs="Times New Roman"/>
          <w:sz w:val="32"/>
          <w:szCs w:val="32"/>
          <w:lang w:eastAsia="zh-CN"/>
        </w:rPr>
        <w:t>。</w:t>
      </w:r>
    </w:p>
    <w:p w14:paraId="5D1C33DA">
      <w:pPr>
        <w:keepNext w:val="0"/>
        <w:keepLines w:val="0"/>
        <w:pageBreakBefore w:val="0"/>
        <w:widowControl/>
        <w:kinsoku/>
        <w:wordWrap/>
        <w:overflowPunct/>
        <w:topLinePunct w:val="0"/>
        <w:autoSpaceDE/>
        <w:autoSpaceDN/>
        <w:bidi w:val="0"/>
        <w:spacing w:line="600" w:lineRule="exact"/>
        <w:ind w:firstLine="640" w:firstLineChars="200"/>
        <w:jc w:val="left"/>
        <w:textAlignment w:val="auto"/>
        <w:rPr>
          <w:rFonts w:hint="default" w:ascii="Times New Roman" w:hAnsi="Times New Roman" w:eastAsia="仿宋_GB2312" w:cs="Times New Roman"/>
          <w:sz w:val="32"/>
          <w:szCs w:val="32"/>
          <w:lang w:eastAsia="zh-CN"/>
        </w:rPr>
      </w:pPr>
      <w:r>
        <w:rPr>
          <w:rFonts w:hint="default" w:ascii="Times New Roman" w:hAnsi="Times New Roman" w:cs="Times New Roman"/>
          <w:sz w:val="32"/>
          <w:szCs w:val="32"/>
          <w:lang w:eastAsia="zh-CN"/>
        </w:rPr>
        <w:t>（</w:t>
      </w:r>
      <w:r>
        <w:rPr>
          <w:rFonts w:hint="default" w:ascii="Times New Roman" w:hAnsi="Times New Roman" w:cs="Times New Roman"/>
          <w:sz w:val="32"/>
          <w:szCs w:val="32"/>
          <w:lang w:val="en-US" w:eastAsia="zh-CN"/>
        </w:rPr>
        <w:t>4</w:t>
      </w:r>
      <w:r>
        <w:rPr>
          <w:rFonts w:hint="default" w:ascii="Times New Roman" w:hAnsi="Times New Roman" w:cs="Times New Roman"/>
          <w:sz w:val="32"/>
          <w:szCs w:val="32"/>
          <w:lang w:eastAsia="zh-CN"/>
        </w:rPr>
        <w:t>）</w:t>
      </w:r>
      <w:r>
        <w:rPr>
          <w:rFonts w:hint="default" w:ascii="Times New Roman" w:hAnsi="Times New Roman" w:eastAsia="仿宋_GB2312" w:cs="Times New Roman"/>
          <w:sz w:val="32"/>
          <w:szCs w:val="32"/>
        </w:rPr>
        <w:t>成本指标：</w:t>
      </w:r>
      <w:r>
        <w:rPr>
          <w:rFonts w:hint="default" w:ascii="Times New Roman" w:hAnsi="Times New Roman" w:eastAsia="仿宋_GB2312" w:cs="Times New Roman"/>
          <w:sz w:val="32"/>
          <w:szCs w:val="32"/>
          <w:lang w:val="en-US" w:eastAsia="zh-CN"/>
        </w:rPr>
        <w:t>16.8万元资金全额下达。</w:t>
      </w:r>
    </w:p>
    <w:p w14:paraId="1888FA5F">
      <w:pPr>
        <w:keepNext w:val="0"/>
        <w:keepLines w:val="0"/>
        <w:pageBreakBefore w:val="0"/>
        <w:widowControl/>
        <w:kinsoku/>
        <w:wordWrap/>
        <w:overflowPunct/>
        <w:topLinePunct w:val="0"/>
        <w:autoSpaceDE/>
        <w:autoSpaceDN/>
        <w:bidi w:val="0"/>
        <w:spacing w:line="600" w:lineRule="exact"/>
        <w:ind w:firstLine="640" w:firstLineChars="200"/>
        <w:jc w:val="left"/>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t>（</w:t>
      </w:r>
      <w:r>
        <w:rPr>
          <w:rFonts w:hint="default" w:ascii="Times New Roman" w:hAnsi="Times New Roman" w:cs="Times New Roman"/>
          <w:sz w:val="32"/>
          <w:szCs w:val="32"/>
          <w:lang w:val="en-US" w:eastAsia="zh-CN"/>
        </w:rPr>
        <w:t>5</w:t>
      </w:r>
      <w:r>
        <w:rPr>
          <w:rFonts w:hint="default" w:ascii="Times New Roman" w:hAnsi="Times New Roman" w:eastAsia="仿宋_GB2312" w:cs="Times New Roman"/>
          <w:sz w:val="32"/>
          <w:szCs w:val="32"/>
        </w:rPr>
        <w:t>）社会效益指标：</w:t>
      </w:r>
      <w:r>
        <w:rPr>
          <w:rFonts w:hint="default" w:ascii="Times New Roman" w:hAnsi="Times New Roman" w:eastAsia="仿宋_GB2312" w:cs="Times New Roman"/>
          <w:sz w:val="32"/>
          <w:szCs w:val="32"/>
          <w:lang w:val="en-US" w:eastAsia="zh-CN"/>
        </w:rPr>
        <w:t>人民群众获得感、幸福感增强。</w:t>
      </w:r>
    </w:p>
    <w:p w14:paraId="41DA803E">
      <w:pPr>
        <w:pStyle w:val="9"/>
        <w:keepNext w:val="0"/>
        <w:keepLines w:val="0"/>
        <w:pageBreakBefore w:val="0"/>
        <w:kinsoku/>
        <w:wordWrap/>
        <w:overflowPunct/>
        <w:topLinePunct w:val="0"/>
        <w:autoSpaceDE/>
        <w:autoSpaceDN/>
        <w:bidi w:val="0"/>
        <w:spacing w:line="60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w:t>
      </w:r>
      <w:r>
        <w:rPr>
          <w:rFonts w:hint="default" w:ascii="Times New Roman" w:hAnsi="Times New Roman" w:cs="Times New Roman"/>
          <w:sz w:val="32"/>
          <w:szCs w:val="32"/>
          <w:lang w:val="en-US" w:eastAsia="zh-CN"/>
        </w:rPr>
        <w:t>6</w:t>
      </w:r>
      <w:r>
        <w:rPr>
          <w:rFonts w:hint="default" w:ascii="Times New Roman" w:hAnsi="Times New Roman" w:eastAsia="仿宋_GB2312" w:cs="Times New Roman"/>
          <w:sz w:val="32"/>
          <w:szCs w:val="32"/>
        </w:rPr>
        <w:t>）满意度指标：</w:t>
      </w:r>
      <w:r>
        <w:rPr>
          <w:rFonts w:hint="default" w:ascii="Times New Roman" w:hAnsi="Times New Roman" w:eastAsia="仿宋_GB2312" w:cs="Times New Roman"/>
          <w:color w:val="000000"/>
          <w:sz w:val="32"/>
          <w:szCs w:val="32"/>
        </w:rPr>
        <w:t>参保人员满意度</w:t>
      </w:r>
      <w:r>
        <w:rPr>
          <w:rFonts w:hint="default" w:ascii="Times New Roman" w:hAnsi="Times New Roman" w:cs="Times New Roman"/>
          <w:sz w:val="32"/>
          <w:szCs w:val="32"/>
        </w:rPr>
        <w:t>≥</w:t>
      </w:r>
      <w:r>
        <w:rPr>
          <w:rFonts w:hint="default" w:ascii="Times New Roman" w:hAnsi="Times New Roman" w:eastAsia="仿宋_GB2312" w:cs="Times New Roman"/>
          <w:sz w:val="32"/>
          <w:szCs w:val="32"/>
        </w:rPr>
        <w:t>90%。</w:t>
      </w:r>
    </w:p>
    <w:p w14:paraId="2AD7A593">
      <w:pPr>
        <w:keepNext w:val="0"/>
        <w:keepLines w:val="0"/>
        <w:pageBreakBefore w:val="0"/>
        <w:kinsoku/>
        <w:wordWrap/>
        <w:overflowPunct/>
        <w:topLinePunct w:val="0"/>
        <w:autoSpaceDE/>
        <w:autoSpaceDN/>
        <w:bidi w:val="0"/>
        <w:adjustRightInd w:val="0"/>
        <w:snapToGrid w:val="0"/>
        <w:spacing w:line="600" w:lineRule="exact"/>
        <w:ind w:firstLine="720"/>
        <w:textAlignment w:val="auto"/>
        <w:rPr>
          <w:rFonts w:hint="default" w:ascii="Times New Roman" w:hAnsi="Times New Roman" w:eastAsia="楷体_GB2312" w:cs="Times New Roman"/>
          <w:b/>
          <w:sz w:val="32"/>
          <w:szCs w:val="32"/>
          <w:lang w:val="zh-CN"/>
        </w:rPr>
      </w:pPr>
      <w:r>
        <w:rPr>
          <w:rFonts w:hint="default" w:ascii="Times New Roman" w:hAnsi="Times New Roman" w:eastAsia="楷体_GB2312" w:cs="Times New Roman"/>
          <w:b/>
          <w:sz w:val="32"/>
          <w:szCs w:val="32"/>
          <w:lang w:val="zh-CN"/>
        </w:rPr>
        <w:t>（二）项目效益情况</w:t>
      </w:r>
    </w:p>
    <w:p w14:paraId="21489CAA">
      <w:pPr>
        <w:keepNext w:val="0"/>
        <w:keepLines w:val="0"/>
        <w:pageBreakBefore w:val="0"/>
        <w:widowControl/>
        <w:kinsoku/>
        <w:wordWrap/>
        <w:overflowPunct/>
        <w:topLinePunct w:val="0"/>
        <w:autoSpaceDE/>
        <w:autoSpaceDN/>
        <w:bidi w:val="0"/>
        <w:spacing w:line="600" w:lineRule="exact"/>
        <w:ind w:firstLine="640" w:firstLineChars="200"/>
        <w:jc w:val="both"/>
        <w:textAlignment w:val="auto"/>
        <w:rPr>
          <w:rFonts w:hint="default" w:ascii="Times New Roman" w:hAnsi="Times New Roman" w:eastAsia="仿宋_GB2312" w:cs="Times New Roman"/>
          <w:sz w:val="32"/>
          <w:szCs w:val="32"/>
          <w:lang w:val="zh-CN" w:eastAsia="zh-CN"/>
        </w:rPr>
      </w:pPr>
      <w:r>
        <w:rPr>
          <w:rFonts w:hint="default" w:ascii="Times New Roman" w:hAnsi="Times New Roman" w:eastAsia="仿宋_GB2312" w:cs="Times New Roman"/>
          <w:sz w:val="32"/>
          <w:szCs w:val="32"/>
          <w:lang w:val="en-US" w:eastAsia="zh-CN"/>
        </w:rPr>
        <w:t>通过“社保公共服务能力建设资金”项目，扎实抓好我市《社会保险经办条例》的学习宣传贯彻，广泛深入宣传社会保险政策和便民服务举措，进一步提高社会公众政策知晓度、依法履行社保义务和维护社保合法权益的意识，不断提升社保工作人员经办能力和水平，为全市参保人员做好社会保险公共服务工作。</w:t>
      </w:r>
    </w:p>
    <w:p w14:paraId="10BFC5BB">
      <w:pPr>
        <w:keepNext w:val="0"/>
        <w:keepLines w:val="0"/>
        <w:pageBreakBefore w:val="0"/>
        <w:kinsoku/>
        <w:wordWrap/>
        <w:overflowPunct/>
        <w:topLinePunct w:val="0"/>
        <w:autoSpaceDE/>
        <w:autoSpaceDN/>
        <w:bidi w:val="0"/>
        <w:adjustRightInd w:val="0"/>
        <w:snapToGrid w:val="0"/>
        <w:spacing w:line="600" w:lineRule="exact"/>
        <w:ind w:firstLine="72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五、评价结论及建议</w:t>
      </w:r>
    </w:p>
    <w:p w14:paraId="065B88C1">
      <w:pPr>
        <w:keepNext w:val="0"/>
        <w:keepLines w:val="0"/>
        <w:pageBreakBefore w:val="0"/>
        <w:kinsoku/>
        <w:wordWrap/>
        <w:overflowPunct/>
        <w:topLinePunct w:val="0"/>
        <w:autoSpaceDE/>
        <w:autoSpaceDN/>
        <w:bidi w:val="0"/>
        <w:adjustRightInd w:val="0"/>
        <w:snapToGrid w:val="0"/>
        <w:spacing w:line="600" w:lineRule="exact"/>
        <w:ind w:firstLine="720"/>
        <w:textAlignment w:val="auto"/>
        <w:rPr>
          <w:rFonts w:hint="default" w:ascii="Times New Roman" w:hAnsi="Times New Roman" w:eastAsia="楷体_GB2312" w:cs="Times New Roman"/>
          <w:b/>
          <w:sz w:val="32"/>
          <w:szCs w:val="32"/>
          <w:lang w:val="zh-CN"/>
        </w:rPr>
      </w:pPr>
      <w:r>
        <w:rPr>
          <w:rFonts w:hint="default" w:ascii="Times New Roman" w:hAnsi="Times New Roman" w:eastAsia="楷体_GB2312" w:cs="Times New Roman"/>
          <w:b/>
          <w:sz w:val="32"/>
          <w:szCs w:val="32"/>
          <w:lang w:val="zh-CN"/>
        </w:rPr>
        <w:t>（一）评价结论</w:t>
      </w:r>
    </w:p>
    <w:p w14:paraId="3D82F8EF">
      <w:pPr>
        <w:keepNext w:val="0"/>
        <w:keepLines w:val="0"/>
        <w:pageBreakBefore w:val="0"/>
        <w:widowControl w:val="0"/>
        <w:kinsoku/>
        <w:wordWrap/>
        <w:overflowPunct/>
        <w:topLinePunct w:val="0"/>
        <w:autoSpaceDE/>
        <w:autoSpaceDN/>
        <w:bidi w:val="0"/>
        <w:adjustRightInd/>
        <w:snapToGrid/>
        <w:spacing w:line="600" w:lineRule="exact"/>
        <w:ind w:firstLine="640"/>
        <w:textAlignment w:val="auto"/>
        <w:outlineLvl w:val="9"/>
        <w:rPr>
          <w:rFonts w:hint="default" w:ascii="Times New Roman" w:hAnsi="Times New Roman" w:eastAsia="楷体_GB2312" w:cs="Times New Roman"/>
          <w:color w:val="auto"/>
          <w:sz w:val="32"/>
          <w:szCs w:val="32"/>
          <w:lang w:eastAsia="zh-CN"/>
        </w:rPr>
      </w:pPr>
      <w:r>
        <w:rPr>
          <w:rFonts w:hint="default" w:ascii="Times New Roman" w:hAnsi="Times New Roman" w:eastAsia="楷体_GB2312" w:cs="Times New Roman"/>
          <w:color w:val="auto"/>
          <w:sz w:val="32"/>
          <w:szCs w:val="32"/>
          <w:lang w:val="en-US" w:eastAsia="zh-CN"/>
        </w:rPr>
        <w:t>1.</w:t>
      </w:r>
      <w:r>
        <w:rPr>
          <w:rFonts w:hint="default" w:ascii="Times New Roman" w:hAnsi="Times New Roman" w:eastAsia="楷体_GB2312" w:cs="Times New Roman"/>
          <w:color w:val="auto"/>
          <w:sz w:val="32"/>
          <w:szCs w:val="32"/>
          <w:lang w:eastAsia="zh-CN"/>
        </w:rPr>
        <w:t>项目决策。</w:t>
      </w:r>
    </w:p>
    <w:p w14:paraId="26429759">
      <w:pPr>
        <w:keepNext w:val="0"/>
        <w:keepLines w:val="0"/>
        <w:pageBreakBefore w:val="0"/>
        <w:widowControl/>
        <w:kinsoku/>
        <w:wordWrap/>
        <w:overflowPunct/>
        <w:topLinePunct w:val="0"/>
        <w:autoSpaceDE/>
        <w:autoSpaceDN/>
        <w:bidi w:val="0"/>
        <w:spacing w:line="60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项目设立、调整延续等方面符合资金管理基本规范和决策程序要求，项目规划论证符合中省要求，项目绩效目标设置是否科学合理，属于政府支持范围，且符合财政事权支出责任划分规定，资金投向与项目总体规划、相关行业事业发展相匹配，项目制度办法体系健全、要素完备。</w:t>
      </w:r>
    </w:p>
    <w:p w14:paraId="0EC21C00">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outlineLvl w:val="9"/>
        <w:rPr>
          <w:rFonts w:hint="default" w:ascii="Times New Roman" w:hAnsi="Times New Roman" w:eastAsia="楷体_GB2312" w:cs="Times New Roman"/>
          <w:color w:val="auto"/>
          <w:sz w:val="32"/>
          <w:szCs w:val="32"/>
          <w:lang w:eastAsia="zh-CN"/>
        </w:rPr>
      </w:pPr>
      <w:r>
        <w:rPr>
          <w:rFonts w:hint="default" w:ascii="Times New Roman" w:hAnsi="Times New Roman" w:eastAsia="楷体_GB2312" w:cs="Times New Roman"/>
          <w:color w:val="auto"/>
          <w:sz w:val="32"/>
          <w:szCs w:val="32"/>
          <w:lang w:val="en-US" w:eastAsia="zh-CN"/>
        </w:rPr>
        <w:t>2.</w:t>
      </w:r>
      <w:r>
        <w:rPr>
          <w:rFonts w:hint="default" w:ascii="Times New Roman" w:hAnsi="Times New Roman" w:eastAsia="楷体_GB2312" w:cs="Times New Roman"/>
          <w:color w:val="auto"/>
          <w:sz w:val="32"/>
          <w:szCs w:val="32"/>
          <w:lang w:eastAsia="zh-CN"/>
        </w:rPr>
        <w:t>项目管理。</w:t>
      </w:r>
    </w:p>
    <w:p w14:paraId="62727F30">
      <w:pPr>
        <w:keepNext w:val="0"/>
        <w:keepLines w:val="0"/>
        <w:pageBreakBefore w:val="0"/>
        <w:widowControl/>
        <w:kinsoku/>
        <w:wordWrap/>
        <w:overflowPunct/>
        <w:topLinePunct w:val="0"/>
        <w:autoSpaceDE/>
        <w:autoSpaceDN/>
        <w:bidi w:val="0"/>
        <w:spacing w:line="60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按实际区域分配结果选择客观因素测算验证资金分配科学合理、均衡公平。资金实际支持对象符合管理要求，符合支持对象范围。</w:t>
      </w:r>
    </w:p>
    <w:p w14:paraId="3008D692">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640" w:leftChars="0"/>
        <w:textAlignment w:val="auto"/>
        <w:outlineLvl w:val="9"/>
        <w:rPr>
          <w:rFonts w:hint="default" w:ascii="Times New Roman" w:hAnsi="Times New Roman" w:eastAsia="楷体_GB2312" w:cs="Times New Roman"/>
          <w:color w:val="auto"/>
          <w:sz w:val="32"/>
          <w:szCs w:val="32"/>
          <w:lang w:val="en-US" w:eastAsia="zh-CN"/>
        </w:rPr>
      </w:pPr>
      <w:r>
        <w:rPr>
          <w:rFonts w:hint="default" w:ascii="Times New Roman" w:hAnsi="Times New Roman" w:eastAsia="楷体_GB2312" w:cs="Times New Roman"/>
          <w:color w:val="auto"/>
          <w:sz w:val="32"/>
          <w:szCs w:val="32"/>
          <w:lang w:val="en-US" w:eastAsia="zh-CN"/>
        </w:rPr>
        <w:t>3.项目实施。</w:t>
      </w:r>
    </w:p>
    <w:p w14:paraId="68F7D0EB">
      <w:pPr>
        <w:keepNext w:val="0"/>
        <w:keepLines w:val="0"/>
        <w:pageBreakBefore w:val="0"/>
        <w:widowControl/>
        <w:kinsoku/>
        <w:wordWrap/>
        <w:overflowPunct/>
        <w:topLinePunct w:val="0"/>
        <w:autoSpaceDE/>
        <w:autoSpaceDN/>
        <w:bidi w:val="0"/>
        <w:spacing w:line="600" w:lineRule="exact"/>
        <w:ind w:firstLine="640" w:firstLineChars="200"/>
        <w:jc w:val="both"/>
        <w:textAlignment w:val="auto"/>
        <w:rPr>
          <w:rFonts w:hint="default" w:ascii="Times New Roman" w:hAnsi="Times New Roman" w:eastAsia="仿宋_GB2312" w:cs="Times New Roman"/>
          <w:sz w:val="32"/>
          <w:szCs w:val="32"/>
          <w:lang w:val="zh-CN" w:eastAsia="zh-CN"/>
        </w:rPr>
      </w:pPr>
      <w:r>
        <w:rPr>
          <w:rFonts w:hint="default" w:ascii="Times New Roman" w:hAnsi="Times New Roman" w:eastAsia="仿宋_GB2312" w:cs="Times New Roman"/>
          <w:sz w:val="32"/>
          <w:szCs w:val="32"/>
          <w:lang w:val="en-US" w:eastAsia="zh-CN"/>
        </w:rPr>
        <w:t>此项目资金16.8万元，2024年中由市级财政下达预算指标，</w:t>
      </w:r>
      <w:r>
        <w:rPr>
          <w:rFonts w:hint="default" w:ascii="Times New Roman" w:hAnsi="Times New Roman" w:eastAsia="仿宋_GB2312" w:cs="Times New Roman"/>
          <w:sz w:val="32"/>
          <w:szCs w:val="32"/>
          <w:lang w:val="zh-CN" w:eastAsia="zh-CN"/>
        </w:rPr>
        <w:t>到位率100%。</w:t>
      </w:r>
      <w:r>
        <w:rPr>
          <w:rFonts w:hint="default" w:ascii="Times New Roman" w:hAnsi="Times New Roman" w:eastAsia="仿宋_GB2312" w:cs="Times New Roman"/>
          <w:sz w:val="32"/>
          <w:szCs w:val="32"/>
          <w:lang w:val="en-US" w:eastAsia="zh-CN"/>
        </w:rPr>
        <w:t>主要</w:t>
      </w:r>
      <w:r>
        <w:rPr>
          <w:rFonts w:hint="default" w:ascii="Times New Roman" w:hAnsi="Times New Roman" w:eastAsia="仿宋_GB2312" w:cs="Times New Roman"/>
          <w:sz w:val="32"/>
          <w:szCs w:val="32"/>
          <w:lang w:val="zh-CN" w:eastAsia="zh-CN"/>
        </w:rPr>
        <w:t>用于社保公共服务能力建设</w:t>
      </w:r>
      <w:r>
        <w:rPr>
          <w:rFonts w:hint="default" w:ascii="Times New Roman" w:hAnsi="Times New Roman" w:eastAsia="仿宋_GB2312" w:cs="Times New Roman"/>
          <w:sz w:val="32"/>
          <w:szCs w:val="32"/>
          <w:lang w:val="en-US" w:eastAsia="zh-CN"/>
        </w:rPr>
        <w:t>所需</w:t>
      </w:r>
      <w:r>
        <w:rPr>
          <w:rFonts w:hint="default" w:ascii="Times New Roman" w:hAnsi="Times New Roman" w:eastAsia="仿宋_GB2312" w:cs="Times New Roman"/>
          <w:sz w:val="32"/>
          <w:szCs w:val="32"/>
          <w:lang w:val="zh-CN" w:eastAsia="zh-CN"/>
        </w:rPr>
        <w:t>的信息系统建设及运行维护、设施设备购置、经办人员能力素质提升培训及风险防控等支出。资金</w:t>
      </w:r>
      <w:r>
        <w:rPr>
          <w:rFonts w:hint="default" w:ascii="Times New Roman" w:hAnsi="Times New Roman" w:eastAsia="仿宋_GB2312" w:cs="Times New Roman"/>
          <w:sz w:val="32"/>
          <w:szCs w:val="32"/>
          <w:lang w:val="en-US" w:eastAsia="zh-CN"/>
        </w:rPr>
        <w:t>到位后，攀枝花市社会保险事务中心办公室组织实施，严格按财经纪律、财务管理等相关规定，严格审核各项支出。</w:t>
      </w:r>
    </w:p>
    <w:p w14:paraId="0A2507B0">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outlineLvl w:val="9"/>
        <w:rPr>
          <w:rFonts w:hint="default" w:ascii="Times New Roman" w:hAnsi="Times New Roman" w:eastAsia="楷体_GB2312" w:cs="Times New Roman"/>
          <w:color w:val="auto"/>
          <w:sz w:val="32"/>
          <w:szCs w:val="32"/>
          <w:lang w:val="en-US" w:eastAsia="zh-CN"/>
        </w:rPr>
      </w:pPr>
      <w:r>
        <w:rPr>
          <w:rFonts w:hint="default" w:ascii="Times New Roman" w:hAnsi="Times New Roman" w:eastAsia="楷体_GB2312" w:cs="Times New Roman"/>
          <w:color w:val="auto"/>
          <w:sz w:val="32"/>
          <w:szCs w:val="32"/>
          <w:lang w:val="en-US" w:eastAsia="zh-CN"/>
        </w:rPr>
        <w:t>4.项目结果。</w:t>
      </w:r>
    </w:p>
    <w:p w14:paraId="577BFCBC">
      <w:pPr>
        <w:keepNext w:val="0"/>
        <w:keepLines w:val="0"/>
        <w:pageBreakBefore w:val="0"/>
        <w:widowControl/>
        <w:kinsoku/>
        <w:wordWrap/>
        <w:overflowPunct/>
        <w:topLinePunct w:val="0"/>
        <w:autoSpaceDE/>
        <w:autoSpaceDN/>
        <w:bidi w:val="0"/>
        <w:spacing w:line="60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2024年为新增退休人员建立起基础信息，完善了社会化服务管理信息，离退休人员社会化管理率达到100%。全面完成2024年离退休人员领取社保待遇资格认证工作，养老金领取资格认证率达到100%。</w:t>
      </w:r>
    </w:p>
    <w:p w14:paraId="313D30E2">
      <w:pPr>
        <w:keepNext w:val="0"/>
        <w:keepLines w:val="0"/>
        <w:pageBreakBefore w:val="0"/>
        <w:widowControl/>
        <w:kinsoku/>
        <w:wordWrap/>
        <w:overflowPunct/>
        <w:topLinePunct w:val="0"/>
        <w:autoSpaceDE/>
        <w:autoSpaceDN/>
        <w:bidi w:val="0"/>
        <w:spacing w:line="60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“社保公共服务能力建设资金”项目在当期完成了项目的总体实施，执行率100%。确保了企业职工基本养老保险全国统筹顺利推进。</w:t>
      </w:r>
    </w:p>
    <w:p w14:paraId="31B3272B">
      <w:pPr>
        <w:keepNext w:val="0"/>
        <w:keepLines w:val="0"/>
        <w:pageBreakBefore w:val="0"/>
        <w:kinsoku/>
        <w:wordWrap/>
        <w:overflowPunct/>
        <w:topLinePunct w:val="0"/>
        <w:autoSpaceDE/>
        <w:autoSpaceDN/>
        <w:bidi w:val="0"/>
        <w:adjustRightInd w:val="0"/>
        <w:snapToGrid w:val="0"/>
        <w:spacing w:line="600" w:lineRule="exact"/>
        <w:ind w:firstLine="720"/>
        <w:textAlignment w:val="auto"/>
        <w:rPr>
          <w:rFonts w:hint="default" w:ascii="Times New Roman" w:hAnsi="Times New Roman" w:eastAsia="楷体_GB2312" w:cs="Times New Roman"/>
          <w:b/>
          <w:sz w:val="32"/>
          <w:szCs w:val="32"/>
          <w:lang w:val="zh-CN"/>
        </w:rPr>
      </w:pPr>
      <w:r>
        <w:rPr>
          <w:rFonts w:hint="default" w:ascii="Times New Roman" w:hAnsi="Times New Roman" w:eastAsia="楷体_GB2312" w:cs="Times New Roman"/>
          <w:b/>
          <w:sz w:val="32"/>
          <w:szCs w:val="32"/>
          <w:lang w:val="zh-CN"/>
        </w:rPr>
        <w:t>（二）存在的问题</w:t>
      </w:r>
    </w:p>
    <w:p w14:paraId="70B4F1AC">
      <w:pPr>
        <w:keepNext w:val="0"/>
        <w:keepLines w:val="0"/>
        <w:pageBreakBefore w:val="0"/>
        <w:widowControl/>
        <w:kinsoku/>
        <w:wordWrap/>
        <w:overflowPunct/>
        <w:topLinePunct w:val="0"/>
        <w:autoSpaceDE/>
        <w:autoSpaceDN/>
        <w:bidi w:val="0"/>
        <w:spacing w:line="600" w:lineRule="exact"/>
        <w:ind w:firstLine="960" w:firstLineChars="300"/>
        <w:jc w:val="both"/>
        <w:textAlignment w:val="auto"/>
        <w:rPr>
          <w:rFonts w:hint="default" w:ascii="Times New Roman" w:hAnsi="Times New Roman" w:eastAsia="仿宋_GB2312" w:cs="Times New Roman"/>
          <w:sz w:val="32"/>
          <w:szCs w:val="32"/>
          <w:lang w:val="zh-CN" w:eastAsia="zh-CN"/>
        </w:rPr>
      </w:pPr>
      <w:r>
        <w:rPr>
          <w:rFonts w:hint="default" w:ascii="Times New Roman" w:hAnsi="Times New Roman" w:eastAsia="仿宋_GB2312" w:cs="Times New Roman"/>
          <w:sz w:val="32"/>
          <w:szCs w:val="32"/>
          <w:lang w:val="zh-CN" w:eastAsia="zh-CN"/>
        </w:rPr>
        <w:t>无。</w:t>
      </w:r>
    </w:p>
    <w:p w14:paraId="598B9E5B">
      <w:pPr>
        <w:keepNext w:val="0"/>
        <w:keepLines w:val="0"/>
        <w:pageBreakBefore w:val="0"/>
        <w:kinsoku/>
        <w:wordWrap/>
        <w:overflowPunct/>
        <w:topLinePunct w:val="0"/>
        <w:autoSpaceDE/>
        <w:autoSpaceDN/>
        <w:bidi w:val="0"/>
        <w:adjustRightInd w:val="0"/>
        <w:snapToGrid w:val="0"/>
        <w:spacing w:line="600" w:lineRule="exact"/>
        <w:ind w:firstLine="720"/>
        <w:textAlignment w:val="auto"/>
        <w:rPr>
          <w:rFonts w:hint="default" w:ascii="Times New Roman" w:hAnsi="Times New Roman" w:eastAsia="楷体_GB2312" w:cs="Times New Roman"/>
          <w:b/>
          <w:sz w:val="32"/>
          <w:szCs w:val="32"/>
          <w:lang w:val="zh-CN"/>
        </w:rPr>
      </w:pPr>
      <w:r>
        <w:rPr>
          <w:rFonts w:hint="default" w:ascii="Times New Roman" w:hAnsi="Times New Roman" w:eastAsia="楷体_GB2312" w:cs="Times New Roman"/>
          <w:b/>
          <w:sz w:val="32"/>
          <w:szCs w:val="32"/>
          <w:lang w:val="zh-CN"/>
        </w:rPr>
        <w:t>（三）相关建议</w:t>
      </w:r>
    </w:p>
    <w:p w14:paraId="448AFAB7">
      <w:pPr>
        <w:keepNext w:val="0"/>
        <w:keepLines w:val="0"/>
        <w:pageBreakBefore w:val="0"/>
        <w:widowControl/>
        <w:kinsoku/>
        <w:wordWrap/>
        <w:overflowPunct/>
        <w:topLinePunct w:val="0"/>
        <w:autoSpaceDE/>
        <w:autoSpaceDN/>
        <w:bidi w:val="0"/>
        <w:spacing w:line="60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强化预算资金精细化管理，提高预算资金科学性、合理性。严格根据相关标准和依据，进行资金使用，确保资金使用效益。</w:t>
      </w:r>
    </w:p>
    <w:p w14:paraId="310F0E63">
      <w:pPr>
        <w:keepNext w:val="0"/>
        <w:keepLines w:val="0"/>
        <w:pageBreakBefore w:val="0"/>
        <w:widowControl w:val="0"/>
        <w:kinsoku/>
        <w:wordWrap/>
        <w:overflowPunct/>
        <w:topLinePunct w:val="0"/>
        <w:autoSpaceDE/>
        <w:autoSpaceDN/>
        <w:bidi w:val="0"/>
        <w:spacing w:line="600" w:lineRule="exact"/>
        <w:ind w:firstLine="640"/>
        <w:textAlignment w:val="auto"/>
        <w:outlineLvl w:val="9"/>
        <w:rPr>
          <w:rFonts w:hint="default" w:ascii="Times New Roman" w:hAnsi="Times New Roman" w:eastAsia="仿宋_GB2312" w:cs="Times New Roman"/>
          <w:b w:val="0"/>
          <w:bCs w:val="0"/>
          <w:kern w:val="0"/>
          <w:position w:val="0"/>
          <w:sz w:val="32"/>
          <w:szCs w:val="32"/>
          <w:highlight w:val="none"/>
          <w:lang w:val="en-US" w:eastAsia="zh-CN" w:bidi="ar-SA"/>
        </w:rPr>
      </w:pPr>
    </w:p>
    <w:p w14:paraId="081090C5">
      <w:pPr>
        <w:pStyle w:val="5"/>
        <w:rPr>
          <w:rFonts w:hint="default" w:ascii="Times New Roman" w:hAnsi="Times New Roman" w:eastAsia="黑体" w:cs="Times New Roman"/>
          <w:color w:val="auto"/>
          <w:kern w:val="0"/>
          <w:sz w:val="32"/>
          <w:szCs w:val="32"/>
          <w:highlight w:val="none"/>
          <w:shd w:val="clear" w:color="auto" w:fill="FFFFFF"/>
          <w:lang w:val="en-US" w:eastAsia="zh-CN"/>
        </w:rPr>
      </w:pPr>
      <w:r>
        <w:rPr>
          <w:rFonts w:hint="default" w:ascii="Times New Roman" w:hAnsi="Times New Roman" w:eastAsia="黑体" w:cs="Times New Roman"/>
          <w:color w:val="auto"/>
          <w:kern w:val="0"/>
          <w:sz w:val="32"/>
          <w:szCs w:val="32"/>
          <w:highlight w:val="none"/>
          <w:shd w:val="clear" w:color="auto" w:fill="FFFFFF"/>
          <w:lang w:val="zh-CN"/>
        </w:rPr>
        <w:t>附件</w:t>
      </w:r>
      <w:r>
        <w:rPr>
          <w:rFonts w:hint="eastAsia" w:ascii="Times New Roman" w:eastAsia="黑体" w:cs="Times New Roman"/>
          <w:color w:val="auto"/>
          <w:kern w:val="0"/>
          <w:sz w:val="32"/>
          <w:szCs w:val="32"/>
          <w:highlight w:val="none"/>
          <w:shd w:val="clear" w:color="auto" w:fill="FFFFFF"/>
          <w:lang w:val="en-US" w:eastAsia="zh-CN"/>
        </w:rPr>
        <w:t>4</w:t>
      </w:r>
    </w:p>
    <w:p w14:paraId="1B4B634C">
      <w:pPr>
        <w:keepNext w:val="0"/>
        <w:keepLines w:val="0"/>
        <w:pageBreakBefore w:val="0"/>
        <w:widowControl/>
        <w:kinsoku/>
        <w:wordWrap/>
        <w:overflowPunct/>
        <w:topLinePunct w:val="0"/>
        <w:autoSpaceDE/>
        <w:autoSpaceDN/>
        <w:bidi w:val="0"/>
        <w:spacing w:line="600" w:lineRule="exact"/>
        <w:ind w:firstLine="640" w:firstLineChars="200"/>
        <w:jc w:val="both"/>
        <w:textAlignment w:val="auto"/>
        <w:rPr>
          <w:rFonts w:hint="default" w:ascii="Times New Roman" w:hAnsi="Times New Roman" w:eastAsia="仿宋_GB2312" w:cs="Times New Roman"/>
          <w:b w:val="0"/>
          <w:bCs w:val="0"/>
          <w:kern w:val="0"/>
          <w:position w:val="0"/>
          <w:sz w:val="32"/>
          <w:szCs w:val="32"/>
          <w:highlight w:val="none"/>
          <w:lang w:val="en-US" w:eastAsia="zh-CN" w:bidi="ar-SA"/>
        </w:rPr>
      </w:pPr>
    </w:p>
    <w:p w14:paraId="76C0CE00">
      <w:pPr>
        <w:pStyle w:val="37"/>
        <w:keepNext w:val="0"/>
        <w:keepLines w:val="0"/>
        <w:pageBreakBefore w:val="0"/>
        <w:kinsoku/>
        <w:wordWrap/>
        <w:overflowPunct/>
        <w:topLinePunct w:val="0"/>
        <w:autoSpaceDE/>
        <w:autoSpaceDN/>
        <w:bidi w:val="0"/>
        <w:spacing w:line="600" w:lineRule="exact"/>
        <w:jc w:val="center"/>
        <w:textAlignment w:val="auto"/>
        <w:rPr>
          <w:rFonts w:hint="default" w:ascii="Times New Roman" w:hAnsi="Times New Roman" w:eastAsia="方正小标宋简体" w:cs="Times New Roman"/>
          <w:color w:val="auto"/>
          <w:kern w:val="2"/>
          <w:sz w:val="40"/>
          <w:szCs w:val="40"/>
        </w:rPr>
      </w:pPr>
      <w:bookmarkStart w:id="54" w:name="_Toc15396618"/>
      <w:r>
        <w:rPr>
          <w:rFonts w:hint="default" w:ascii="Times New Roman" w:hAnsi="Times New Roman" w:eastAsia="方正小标宋简体" w:cs="Times New Roman"/>
          <w:color w:val="auto"/>
          <w:kern w:val="2"/>
          <w:sz w:val="40"/>
          <w:szCs w:val="40"/>
        </w:rPr>
        <w:t>攀枝花市社会保险事务中心</w:t>
      </w:r>
    </w:p>
    <w:p w14:paraId="73A585A9">
      <w:pPr>
        <w:pStyle w:val="37"/>
        <w:keepNext w:val="0"/>
        <w:keepLines w:val="0"/>
        <w:pageBreakBefore w:val="0"/>
        <w:kinsoku/>
        <w:wordWrap/>
        <w:overflowPunct/>
        <w:topLinePunct w:val="0"/>
        <w:autoSpaceDE/>
        <w:autoSpaceDN/>
        <w:bidi w:val="0"/>
        <w:spacing w:line="600" w:lineRule="exact"/>
        <w:jc w:val="center"/>
        <w:textAlignment w:val="auto"/>
        <w:rPr>
          <w:rFonts w:hint="default" w:ascii="Times New Roman" w:hAnsi="Times New Roman" w:eastAsia="方正小标宋简体" w:cs="Times New Roman"/>
          <w:sz w:val="44"/>
          <w:szCs w:val="44"/>
          <w:lang w:val="en-US" w:eastAsia="zh-CN"/>
        </w:rPr>
      </w:pPr>
      <w:r>
        <w:rPr>
          <w:rFonts w:hint="default" w:ascii="Times New Roman" w:hAnsi="Times New Roman" w:eastAsia="方正小标宋简体" w:cs="Times New Roman"/>
          <w:color w:val="auto"/>
          <w:kern w:val="2"/>
          <w:sz w:val="40"/>
          <w:szCs w:val="40"/>
          <w:lang w:val="en-US"/>
        </w:rPr>
        <w:t>202</w:t>
      </w:r>
      <w:r>
        <w:rPr>
          <w:rFonts w:hint="default" w:ascii="Times New Roman" w:hAnsi="Times New Roman" w:eastAsia="方正小标宋简体" w:cs="Times New Roman"/>
          <w:color w:val="auto"/>
          <w:kern w:val="2"/>
          <w:sz w:val="40"/>
          <w:szCs w:val="40"/>
          <w:lang w:val="en-US" w:eastAsia="zh-CN"/>
        </w:rPr>
        <w:t>4</w:t>
      </w:r>
      <w:r>
        <w:rPr>
          <w:rFonts w:hint="default" w:ascii="Times New Roman" w:hAnsi="Times New Roman" w:eastAsia="方正小标宋简体" w:cs="Times New Roman"/>
          <w:color w:val="auto"/>
          <w:kern w:val="2"/>
          <w:sz w:val="40"/>
          <w:szCs w:val="40"/>
          <w:lang w:val="en-US"/>
        </w:rPr>
        <w:t>年</w:t>
      </w:r>
      <w:r>
        <w:rPr>
          <w:rFonts w:hint="default" w:ascii="Times New Roman" w:hAnsi="Times New Roman" w:eastAsia="方正小标宋简体" w:cs="Times New Roman"/>
          <w:color w:val="auto"/>
          <w:kern w:val="2"/>
          <w:sz w:val="40"/>
          <w:szCs w:val="40"/>
          <w:lang w:val="en-US" w:eastAsia="zh-CN"/>
        </w:rPr>
        <w:t>省管森工社会化管理工作经费</w:t>
      </w:r>
    </w:p>
    <w:p w14:paraId="56D7BC7B">
      <w:pPr>
        <w:pStyle w:val="37"/>
        <w:keepNext w:val="0"/>
        <w:keepLines w:val="0"/>
        <w:pageBreakBefore w:val="0"/>
        <w:kinsoku/>
        <w:wordWrap/>
        <w:overflowPunct/>
        <w:topLinePunct w:val="0"/>
        <w:autoSpaceDE/>
        <w:autoSpaceDN/>
        <w:bidi w:val="0"/>
        <w:spacing w:line="600" w:lineRule="exact"/>
        <w:jc w:val="center"/>
        <w:textAlignment w:val="auto"/>
        <w:rPr>
          <w:rFonts w:hint="default" w:ascii="Times New Roman" w:hAnsi="Times New Roman" w:eastAsia="方正小标宋简体" w:cs="Times New Roman"/>
          <w:color w:val="auto"/>
          <w:kern w:val="2"/>
          <w:sz w:val="40"/>
          <w:szCs w:val="40"/>
        </w:rPr>
      </w:pPr>
      <w:r>
        <w:rPr>
          <w:rFonts w:hint="default" w:ascii="Times New Roman" w:hAnsi="Times New Roman" w:eastAsia="方正小标宋简体" w:cs="Times New Roman"/>
          <w:color w:val="auto"/>
          <w:kern w:val="2"/>
          <w:sz w:val="40"/>
          <w:szCs w:val="40"/>
        </w:rPr>
        <w:t>专项预算项目支出绩效自评报告</w:t>
      </w:r>
    </w:p>
    <w:p w14:paraId="443AF6A4">
      <w:pPr>
        <w:pStyle w:val="37"/>
        <w:keepNext w:val="0"/>
        <w:keepLines w:val="0"/>
        <w:pageBreakBefore w:val="0"/>
        <w:kinsoku/>
        <w:wordWrap/>
        <w:overflowPunct/>
        <w:topLinePunct w:val="0"/>
        <w:autoSpaceDE/>
        <w:autoSpaceDN/>
        <w:bidi w:val="0"/>
        <w:spacing w:line="600" w:lineRule="exact"/>
        <w:ind w:firstLine="640"/>
        <w:jc w:val="center"/>
        <w:textAlignment w:val="auto"/>
        <w:rPr>
          <w:rFonts w:hint="default" w:ascii="Times New Roman" w:hAnsi="Times New Roman" w:cs="Times New Roman"/>
          <w:color w:val="auto"/>
          <w:kern w:val="2"/>
          <w:sz w:val="32"/>
          <w:szCs w:val="32"/>
        </w:rPr>
      </w:pPr>
    </w:p>
    <w:p w14:paraId="0F575A2C">
      <w:pPr>
        <w:keepNext w:val="0"/>
        <w:keepLines w:val="0"/>
        <w:pageBreakBefore w:val="0"/>
        <w:kinsoku/>
        <w:wordWrap/>
        <w:overflowPunct/>
        <w:topLinePunct w:val="0"/>
        <w:autoSpaceDE/>
        <w:autoSpaceDN/>
        <w:bidi w:val="0"/>
        <w:adjustRightInd w:val="0"/>
        <w:snapToGrid w:val="0"/>
        <w:spacing w:line="600" w:lineRule="exact"/>
        <w:ind w:firstLine="720"/>
        <w:textAlignment w:val="auto"/>
        <w:rPr>
          <w:rFonts w:hint="default" w:ascii="Times New Roman" w:hAnsi="Times New Roman" w:eastAsia="黑体" w:cs="Times New Roman"/>
          <w:sz w:val="32"/>
          <w:szCs w:val="32"/>
          <w:lang w:val="zh-CN"/>
        </w:rPr>
      </w:pPr>
      <w:r>
        <w:rPr>
          <w:rFonts w:hint="default" w:ascii="Times New Roman" w:hAnsi="Times New Roman" w:eastAsia="黑体" w:cs="Times New Roman"/>
          <w:sz w:val="32"/>
          <w:szCs w:val="32"/>
        </w:rPr>
        <w:t>一、</w:t>
      </w:r>
      <w:r>
        <w:rPr>
          <w:rFonts w:hint="default" w:ascii="Times New Roman" w:hAnsi="Times New Roman" w:eastAsia="黑体" w:cs="Times New Roman"/>
          <w:sz w:val="32"/>
          <w:szCs w:val="32"/>
          <w:lang w:val="zh-CN"/>
        </w:rPr>
        <w:t>项目概况</w:t>
      </w:r>
    </w:p>
    <w:p w14:paraId="40C1B964">
      <w:pPr>
        <w:keepNext w:val="0"/>
        <w:keepLines w:val="0"/>
        <w:pageBreakBefore w:val="0"/>
        <w:kinsoku/>
        <w:wordWrap/>
        <w:overflowPunct/>
        <w:topLinePunct w:val="0"/>
        <w:autoSpaceDE/>
        <w:autoSpaceDN/>
        <w:bidi w:val="0"/>
        <w:adjustRightInd w:val="0"/>
        <w:snapToGrid w:val="0"/>
        <w:spacing w:line="600" w:lineRule="exact"/>
        <w:ind w:firstLine="720"/>
        <w:textAlignment w:val="auto"/>
        <w:rPr>
          <w:rFonts w:hint="default" w:ascii="Times New Roman" w:hAnsi="Times New Roman" w:eastAsia="楷体_GB2312" w:cs="Times New Roman"/>
          <w:b/>
          <w:sz w:val="32"/>
          <w:szCs w:val="32"/>
          <w:lang w:val="zh-CN"/>
        </w:rPr>
      </w:pPr>
      <w:r>
        <w:rPr>
          <w:rFonts w:hint="default" w:ascii="Times New Roman" w:hAnsi="Times New Roman" w:eastAsia="楷体_GB2312" w:cs="Times New Roman"/>
          <w:b/>
          <w:sz w:val="32"/>
          <w:szCs w:val="32"/>
          <w:lang w:val="zh-CN"/>
        </w:rPr>
        <w:t>（一）项目基本情况。</w:t>
      </w:r>
    </w:p>
    <w:p w14:paraId="7DA65E01">
      <w:pPr>
        <w:keepNext w:val="0"/>
        <w:keepLines w:val="0"/>
        <w:pageBreakBefore w:val="0"/>
        <w:widowControl/>
        <w:kinsoku/>
        <w:wordWrap/>
        <w:overflowPunct/>
        <w:topLinePunct w:val="0"/>
        <w:autoSpaceDE/>
        <w:autoSpaceDN/>
        <w:bidi w:val="0"/>
        <w:spacing w:line="600" w:lineRule="exact"/>
        <w:ind w:firstLine="640" w:firstLineChars="200"/>
        <w:jc w:val="both"/>
        <w:textAlignment w:val="auto"/>
        <w:rPr>
          <w:rFonts w:hint="default" w:ascii="Times New Roman" w:hAnsi="Times New Roman" w:eastAsia="仿宋_GB2312" w:cs="Times New Roman"/>
          <w:sz w:val="32"/>
          <w:szCs w:val="32"/>
          <w:lang w:val="zh-CN" w:eastAsia="zh-CN"/>
        </w:rPr>
      </w:pPr>
      <w:r>
        <w:rPr>
          <w:rFonts w:hint="eastAsia" w:eastAsia="仿宋_GB2312" w:cs="Times New Roman"/>
          <w:sz w:val="32"/>
          <w:szCs w:val="32"/>
          <w:lang w:val="en-US" w:eastAsia="zh-CN"/>
        </w:rPr>
        <w:t>1.</w:t>
      </w:r>
      <w:r>
        <w:rPr>
          <w:rFonts w:hint="default" w:ascii="Times New Roman" w:hAnsi="Times New Roman" w:eastAsia="仿宋_GB2312" w:cs="Times New Roman"/>
          <w:sz w:val="32"/>
          <w:szCs w:val="32"/>
          <w:lang w:val="zh-CN" w:eastAsia="zh-CN"/>
        </w:rPr>
        <w:t>说明项目单位在该项目管理中的职能。</w:t>
      </w:r>
    </w:p>
    <w:p w14:paraId="065B1FE0">
      <w:pPr>
        <w:keepNext w:val="0"/>
        <w:keepLines w:val="0"/>
        <w:pageBreakBefore w:val="0"/>
        <w:widowControl/>
        <w:kinsoku/>
        <w:wordWrap/>
        <w:overflowPunct/>
        <w:topLinePunct w:val="0"/>
        <w:autoSpaceDE/>
        <w:autoSpaceDN/>
        <w:bidi w:val="0"/>
        <w:spacing w:line="60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攀枝花市社会保险事务中心是“省管森工社会化管理工作经费”项目的实施主体，负责项目的实施、监督、管理等工作。承担城镇应参加企业养老保险单位和个人的社会保险登记、申报管理，建立和管理参保单位和个人缴费记录，按规定核准和支付参保人员的养老保险待遇开展与养老保险费征缴有关稽核工作，指导各县（区）社保经办机构开展相关工作。</w:t>
      </w:r>
    </w:p>
    <w:p w14:paraId="0D672311">
      <w:pPr>
        <w:keepNext w:val="0"/>
        <w:keepLines w:val="0"/>
        <w:pageBreakBefore w:val="0"/>
        <w:widowControl/>
        <w:kinsoku/>
        <w:wordWrap/>
        <w:overflowPunct/>
        <w:topLinePunct w:val="0"/>
        <w:autoSpaceDE/>
        <w:autoSpaceDN/>
        <w:bidi w:val="0"/>
        <w:spacing w:line="600" w:lineRule="exact"/>
        <w:ind w:firstLine="640" w:firstLineChars="200"/>
        <w:jc w:val="both"/>
        <w:textAlignment w:val="auto"/>
        <w:rPr>
          <w:rFonts w:hint="default" w:ascii="Times New Roman" w:hAnsi="Times New Roman" w:eastAsia="仿宋_GB2312" w:cs="Times New Roman"/>
          <w:sz w:val="32"/>
          <w:szCs w:val="32"/>
          <w:lang w:val="zh-CN" w:eastAsia="zh-CN"/>
        </w:rPr>
      </w:pPr>
      <w:r>
        <w:rPr>
          <w:rFonts w:hint="eastAsia" w:eastAsia="仿宋_GB2312" w:cs="Times New Roman"/>
          <w:sz w:val="32"/>
          <w:szCs w:val="32"/>
          <w:lang w:val="en-US" w:eastAsia="zh-CN"/>
        </w:rPr>
        <w:t>2.</w:t>
      </w:r>
      <w:r>
        <w:rPr>
          <w:rFonts w:hint="default" w:ascii="Times New Roman" w:hAnsi="Times New Roman" w:eastAsia="仿宋_GB2312" w:cs="Times New Roman"/>
          <w:sz w:val="32"/>
          <w:szCs w:val="32"/>
          <w:lang w:val="zh-CN" w:eastAsia="zh-CN"/>
        </w:rPr>
        <w:t>项目立项、资金申报的依据。</w:t>
      </w:r>
    </w:p>
    <w:p w14:paraId="2258B258">
      <w:pPr>
        <w:keepNext w:val="0"/>
        <w:keepLines w:val="0"/>
        <w:pageBreakBefore w:val="0"/>
        <w:widowControl/>
        <w:kinsoku/>
        <w:wordWrap/>
        <w:overflowPunct/>
        <w:topLinePunct w:val="0"/>
        <w:autoSpaceDE/>
        <w:autoSpaceDN/>
        <w:bidi w:val="0"/>
        <w:spacing w:line="60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“省管森工社会化管理工作经费”</w:t>
      </w:r>
      <w:r>
        <w:rPr>
          <w:rFonts w:hint="default" w:ascii="Times New Roman" w:hAnsi="Times New Roman" w:eastAsia="仿宋_GB2312" w:cs="Times New Roman"/>
          <w:sz w:val="32"/>
          <w:szCs w:val="32"/>
          <w:lang w:val="zh-CN" w:eastAsia="zh-CN"/>
        </w:rPr>
        <w:t>项目资金由省级财政下拨，市级财政年中下达指标。</w:t>
      </w:r>
    </w:p>
    <w:p w14:paraId="079A2168">
      <w:pPr>
        <w:keepNext w:val="0"/>
        <w:keepLines w:val="0"/>
        <w:pageBreakBefore w:val="0"/>
        <w:widowControl/>
        <w:kinsoku/>
        <w:wordWrap/>
        <w:overflowPunct/>
        <w:topLinePunct w:val="0"/>
        <w:autoSpaceDE/>
        <w:autoSpaceDN/>
        <w:bidi w:val="0"/>
        <w:spacing w:line="600" w:lineRule="exact"/>
        <w:ind w:firstLine="640" w:firstLineChars="200"/>
        <w:jc w:val="both"/>
        <w:textAlignment w:val="auto"/>
        <w:rPr>
          <w:rFonts w:hint="default" w:ascii="Times New Roman" w:hAnsi="Times New Roman" w:eastAsia="仿宋_GB2312" w:cs="Times New Roman"/>
          <w:sz w:val="32"/>
          <w:szCs w:val="32"/>
          <w:lang w:val="zh-CN" w:eastAsia="zh-CN"/>
        </w:rPr>
      </w:pPr>
      <w:r>
        <w:rPr>
          <w:rFonts w:hint="eastAsia" w:eastAsia="仿宋_GB2312" w:cs="Times New Roman"/>
          <w:sz w:val="32"/>
          <w:szCs w:val="32"/>
          <w:lang w:val="en-US" w:eastAsia="zh-CN"/>
        </w:rPr>
        <w:t>3.</w:t>
      </w:r>
      <w:r>
        <w:rPr>
          <w:rFonts w:hint="default" w:ascii="Times New Roman" w:hAnsi="Times New Roman" w:eastAsia="仿宋_GB2312" w:cs="Times New Roman"/>
          <w:sz w:val="32"/>
          <w:szCs w:val="32"/>
          <w:lang w:val="zh-CN" w:eastAsia="zh-CN"/>
        </w:rPr>
        <w:t>资金管理办法制定情况，资金支持具体项目的条件、范围与支持方式概况。</w:t>
      </w:r>
    </w:p>
    <w:p w14:paraId="17199D64">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sz w:val="32"/>
          <w:szCs w:val="32"/>
          <w:lang w:val="zh-CN" w:eastAsia="zh-CN"/>
        </w:rPr>
      </w:pPr>
      <w:r>
        <w:rPr>
          <w:rFonts w:hint="default" w:ascii="Times New Roman" w:hAnsi="Times New Roman" w:eastAsia="仿宋_GB2312" w:cs="Times New Roman"/>
          <w:sz w:val="32"/>
          <w:szCs w:val="32"/>
          <w:lang w:val="zh-CN" w:eastAsia="zh-CN"/>
        </w:rPr>
        <w:t>为进一步规范省管森工社会化管理工作经费管理，提高资金使用绩效，严格按照《四川省财政厅四川省人力资源和社会保障厅关于印发〈森工人员退休管理专项资金管理办法〉的通知》(川财社〔20</w:t>
      </w:r>
      <w:r>
        <w:rPr>
          <w:rFonts w:hint="eastAsia" w:eastAsia="仿宋_GB2312" w:cs="Times New Roman"/>
          <w:sz w:val="32"/>
          <w:szCs w:val="32"/>
          <w:lang w:val="en-US" w:eastAsia="zh-CN"/>
        </w:rPr>
        <w:t>17</w:t>
      </w:r>
      <w:r>
        <w:rPr>
          <w:rFonts w:hint="default" w:ascii="Times New Roman" w:hAnsi="Times New Roman" w:eastAsia="仿宋_GB2312" w:cs="Times New Roman"/>
          <w:sz w:val="32"/>
          <w:szCs w:val="32"/>
          <w:lang w:val="zh-CN" w:eastAsia="zh-CN"/>
        </w:rPr>
        <w:t>〕7号)文件要求使用资金。</w:t>
      </w:r>
    </w:p>
    <w:p w14:paraId="14D93280">
      <w:pPr>
        <w:keepNext w:val="0"/>
        <w:keepLines w:val="0"/>
        <w:pageBreakBefore w:val="0"/>
        <w:widowControl/>
        <w:kinsoku/>
        <w:wordWrap/>
        <w:overflowPunct/>
        <w:topLinePunct w:val="0"/>
        <w:autoSpaceDE/>
        <w:autoSpaceDN/>
        <w:bidi w:val="0"/>
        <w:spacing w:line="600" w:lineRule="exact"/>
        <w:ind w:firstLine="640" w:firstLineChars="200"/>
        <w:jc w:val="both"/>
        <w:textAlignment w:val="auto"/>
        <w:rPr>
          <w:rFonts w:hint="default" w:ascii="Times New Roman" w:hAnsi="Times New Roman" w:eastAsia="仿宋_GB2312" w:cs="Times New Roman"/>
          <w:sz w:val="32"/>
          <w:szCs w:val="32"/>
          <w:lang w:val="zh-CN" w:eastAsia="zh-CN"/>
        </w:rPr>
      </w:pPr>
      <w:r>
        <w:rPr>
          <w:rFonts w:hint="eastAsia" w:eastAsia="仿宋_GB2312" w:cs="Times New Roman"/>
          <w:sz w:val="32"/>
          <w:szCs w:val="32"/>
          <w:lang w:val="en-US" w:eastAsia="zh-CN"/>
        </w:rPr>
        <w:t>4.</w:t>
      </w:r>
      <w:r>
        <w:rPr>
          <w:rFonts w:hint="default" w:ascii="Times New Roman" w:hAnsi="Times New Roman" w:eastAsia="仿宋_GB2312" w:cs="Times New Roman"/>
          <w:sz w:val="32"/>
          <w:szCs w:val="32"/>
          <w:lang w:val="zh-CN" w:eastAsia="zh-CN"/>
        </w:rPr>
        <w:t>资金分配的原则及考虑因素。</w:t>
      </w:r>
    </w:p>
    <w:p w14:paraId="0B071590">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color w:val="0000FF"/>
          <w:sz w:val="32"/>
          <w:szCs w:val="32"/>
          <w:lang w:eastAsia="zh-CN"/>
        </w:rPr>
      </w:pPr>
      <w:r>
        <w:rPr>
          <w:rFonts w:hint="default" w:ascii="Times New Roman" w:hAnsi="Times New Roman" w:eastAsia="仿宋_GB2312" w:cs="Times New Roman"/>
          <w:sz w:val="32"/>
          <w:szCs w:val="32"/>
          <w:lang w:val="zh-CN" w:eastAsia="zh-CN"/>
        </w:rPr>
        <w:t>四川省社会保险管理局根据相关基础数据和人均标准，研究提出资金分配方案，经人力资源社会保障厅、财政厅审核并按规定程序报批后，由财政厅、省社保局联合下达预算。</w:t>
      </w:r>
    </w:p>
    <w:p w14:paraId="41783508">
      <w:pPr>
        <w:keepNext w:val="0"/>
        <w:keepLines w:val="0"/>
        <w:pageBreakBefore w:val="0"/>
        <w:kinsoku/>
        <w:wordWrap/>
        <w:overflowPunct/>
        <w:topLinePunct w:val="0"/>
        <w:autoSpaceDE/>
        <w:autoSpaceDN/>
        <w:bidi w:val="0"/>
        <w:adjustRightInd w:val="0"/>
        <w:snapToGrid w:val="0"/>
        <w:spacing w:line="600" w:lineRule="exact"/>
        <w:ind w:firstLine="720"/>
        <w:textAlignment w:val="auto"/>
        <w:rPr>
          <w:rFonts w:hint="default" w:ascii="Times New Roman" w:hAnsi="Times New Roman" w:eastAsia="楷体_GB2312" w:cs="Times New Roman"/>
          <w:b/>
          <w:sz w:val="32"/>
          <w:szCs w:val="32"/>
          <w:lang w:val="zh-CN"/>
        </w:rPr>
      </w:pPr>
      <w:r>
        <w:rPr>
          <w:rFonts w:hint="default" w:ascii="Times New Roman" w:hAnsi="Times New Roman" w:eastAsia="楷体_GB2312" w:cs="Times New Roman"/>
          <w:b/>
          <w:sz w:val="32"/>
          <w:szCs w:val="32"/>
          <w:lang w:val="zh-CN"/>
        </w:rPr>
        <w:t>（二）项目绩效目标</w:t>
      </w:r>
    </w:p>
    <w:p w14:paraId="2534585A">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sz w:val="32"/>
          <w:szCs w:val="32"/>
          <w:lang w:val="zh-CN" w:eastAsia="zh-CN"/>
        </w:rPr>
      </w:pPr>
      <w:r>
        <w:rPr>
          <w:rFonts w:hint="default" w:ascii="Times New Roman" w:hAnsi="Times New Roman" w:eastAsia="仿宋_GB2312" w:cs="Times New Roman"/>
          <w:sz w:val="32"/>
          <w:szCs w:val="32"/>
          <w:lang w:val="zh-CN" w:eastAsia="zh-CN"/>
        </w:rPr>
        <w:t>1.项目主要内容。</w:t>
      </w:r>
    </w:p>
    <w:p w14:paraId="5AF7DE37">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sz w:val="32"/>
          <w:szCs w:val="32"/>
          <w:lang w:val="zh-CN" w:eastAsia="zh-CN"/>
        </w:rPr>
      </w:pPr>
      <w:r>
        <w:rPr>
          <w:rFonts w:hint="default" w:ascii="Times New Roman" w:hAnsi="Times New Roman" w:eastAsia="仿宋_GB2312" w:cs="Times New Roman"/>
          <w:sz w:val="32"/>
          <w:szCs w:val="32"/>
          <w:lang w:val="zh-CN" w:eastAsia="zh-CN"/>
        </w:rPr>
        <w:t>“省管森工企业离退休人员社会化管理经费”项目资金主要用于确保全市社保经办机构代管的省管森工企业离退休人员基本养老金按时足额发放，提升省管森工企业离退休人员社会化管理服务水平。</w:t>
      </w:r>
    </w:p>
    <w:p w14:paraId="6A6E74EA">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sz w:val="32"/>
          <w:szCs w:val="32"/>
          <w:lang w:val="zh-CN" w:eastAsia="zh-CN"/>
        </w:rPr>
      </w:pPr>
      <w:r>
        <w:rPr>
          <w:rFonts w:hint="eastAsia" w:eastAsia="仿宋_GB2312" w:cs="Times New Roman"/>
          <w:sz w:val="32"/>
          <w:szCs w:val="32"/>
          <w:lang w:val="en-US" w:eastAsia="zh-CN"/>
        </w:rPr>
        <w:t>2.</w:t>
      </w:r>
      <w:r>
        <w:rPr>
          <w:rFonts w:hint="default" w:ascii="Times New Roman" w:hAnsi="Times New Roman" w:eastAsia="仿宋_GB2312" w:cs="Times New Roman"/>
          <w:sz w:val="32"/>
          <w:szCs w:val="32"/>
          <w:lang w:val="zh-CN" w:eastAsia="zh-CN"/>
        </w:rPr>
        <w:t>项目应实现的具体绩效目标，包括目标的量化、细化情况以及项目实施进度计划等。</w:t>
      </w:r>
    </w:p>
    <w:p w14:paraId="6CF6B7A4">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sz w:val="32"/>
          <w:szCs w:val="32"/>
          <w:lang w:val="zh-CN" w:eastAsia="zh-CN"/>
        </w:rPr>
      </w:pPr>
      <w:r>
        <w:rPr>
          <w:rFonts w:hint="default" w:ascii="Times New Roman" w:hAnsi="Times New Roman" w:eastAsia="仿宋_GB2312" w:cs="Times New Roman"/>
          <w:sz w:val="32"/>
          <w:szCs w:val="32"/>
          <w:lang w:val="zh-CN" w:eastAsia="zh-CN"/>
        </w:rPr>
        <w:t>（</w:t>
      </w:r>
      <w:r>
        <w:rPr>
          <w:rFonts w:hint="default" w:ascii="Times New Roman" w:hAnsi="Times New Roman" w:eastAsia="仿宋_GB2312" w:cs="Times New Roman"/>
          <w:sz w:val="32"/>
          <w:szCs w:val="32"/>
          <w:lang w:val="en-US" w:eastAsia="zh-CN"/>
        </w:rPr>
        <w:t>1</w:t>
      </w:r>
      <w:r>
        <w:rPr>
          <w:rFonts w:hint="default" w:ascii="Times New Roman" w:hAnsi="Times New Roman" w:eastAsia="仿宋_GB2312" w:cs="Times New Roman"/>
          <w:sz w:val="32"/>
          <w:szCs w:val="32"/>
          <w:lang w:val="zh-CN" w:eastAsia="zh-CN"/>
        </w:rPr>
        <w:t>）质量指标：按时足额发放率达到</w:t>
      </w:r>
      <w:r>
        <w:rPr>
          <w:rFonts w:hint="default" w:ascii="Times New Roman" w:hAnsi="Times New Roman" w:eastAsia="仿宋_GB2312" w:cs="Times New Roman"/>
          <w:sz w:val="32"/>
          <w:szCs w:val="32"/>
          <w:lang w:val="en-US" w:eastAsia="zh-CN"/>
        </w:rPr>
        <w:t>100%。</w:t>
      </w:r>
    </w:p>
    <w:p w14:paraId="3DAAB65C">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sz w:val="32"/>
          <w:szCs w:val="32"/>
          <w:lang w:val="zh-CN" w:eastAsia="zh-CN"/>
        </w:rPr>
      </w:pPr>
      <w:r>
        <w:rPr>
          <w:rFonts w:hint="default" w:ascii="Times New Roman" w:hAnsi="Times New Roman" w:eastAsia="仿宋_GB2312" w:cs="Times New Roman"/>
          <w:sz w:val="32"/>
          <w:szCs w:val="32"/>
          <w:lang w:val="zh-CN" w:eastAsia="zh-CN"/>
        </w:rPr>
        <w:t>（</w:t>
      </w:r>
      <w:r>
        <w:rPr>
          <w:rFonts w:hint="default" w:ascii="Times New Roman" w:hAnsi="Times New Roman" w:eastAsia="仿宋_GB2312" w:cs="Times New Roman"/>
          <w:sz w:val="32"/>
          <w:szCs w:val="32"/>
          <w:lang w:val="en-US" w:eastAsia="zh-CN"/>
        </w:rPr>
        <w:t>2</w:t>
      </w:r>
      <w:r>
        <w:rPr>
          <w:rFonts w:hint="default" w:ascii="Times New Roman" w:hAnsi="Times New Roman" w:eastAsia="仿宋_GB2312" w:cs="Times New Roman"/>
          <w:sz w:val="32"/>
          <w:szCs w:val="32"/>
          <w:lang w:val="zh-CN" w:eastAsia="zh-CN"/>
        </w:rPr>
        <w:t>）数量指标：森工企业退休人员数量≥</w:t>
      </w:r>
      <w:r>
        <w:rPr>
          <w:rFonts w:hint="default" w:ascii="Times New Roman" w:hAnsi="Times New Roman" w:eastAsia="仿宋_GB2312" w:cs="Times New Roman"/>
          <w:sz w:val="32"/>
          <w:szCs w:val="32"/>
          <w:lang w:val="en-US" w:eastAsia="zh-CN"/>
        </w:rPr>
        <w:t>750人。</w:t>
      </w:r>
    </w:p>
    <w:p w14:paraId="4275AA41">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sz w:val="32"/>
          <w:szCs w:val="32"/>
          <w:lang w:val="zh-CN" w:eastAsia="zh-CN"/>
        </w:rPr>
      </w:pPr>
      <w:r>
        <w:rPr>
          <w:rFonts w:hint="default" w:ascii="Times New Roman" w:hAnsi="Times New Roman" w:eastAsia="仿宋_GB2312" w:cs="Times New Roman"/>
          <w:sz w:val="32"/>
          <w:szCs w:val="32"/>
          <w:lang w:val="zh-CN" w:eastAsia="zh-CN"/>
        </w:rPr>
        <w:t>（3）时效指标：</w:t>
      </w:r>
      <w:r>
        <w:rPr>
          <w:rFonts w:hint="default" w:ascii="Times New Roman" w:hAnsi="Times New Roman" w:eastAsia="仿宋_GB2312" w:cs="Times New Roman"/>
          <w:sz w:val="32"/>
          <w:szCs w:val="32"/>
          <w:lang w:val="en-US" w:eastAsia="zh-CN"/>
        </w:rPr>
        <w:t>1年内完成</w:t>
      </w:r>
      <w:r>
        <w:rPr>
          <w:rFonts w:hint="default" w:ascii="Times New Roman" w:hAnsi="Times New Roman" w:eastAsia="仿宋_GB2312" w:cs="Times New Roman"/>
          <w:sz w:val="32"/>
          <w:szCs w:val="32"/>
          <w:lang w:val="zh-CN" w:eastAsia="zh-CN"/>
        </w:rPr>
        <w:t>。</w:t>
      </w:r>
    </w:p>
    <w:p w14:paraId="681039B7">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sz w:val="32"/>
          <w:szCs w:val="32"/>
          <w:lang w:val="zh-CN" w:eastAsia="zh-CN"/>
        </w:rPr>
      </w:pPr>
      <w:r>
        <w:rPr>
          <w:rFonts w:hint="default" w:ascii="Times New Roman" w:hAnsi="Times New Roman" w:eastAsia="仿宋_GB2312" w:cs="Times New Roman"/>
          <w:sz w:val="32"/>
          <w:szCs w:val="32"/>
          <w:lang w:val="zh-CN" w:eastAsia="zh-CN"/>
        </w:rPr>
        <w:t>（</w:t>
      </w:r>
      <w:r>
        <w:rPr>
          <w:rFonts w:hint="default" w:ascii="Times New Roman" w:hAnsi="Times New Roman" w:eastAsia="仿宋_GB2312" w:cs="Times New Roman"/>
          <w:sz w:val="32"/>
          <w:szCs w:val="32"/>
          <w:lang w:val="en-US" w:eastAsia="zh-CN"/>
        </w:rPr>
        <w:t>4</w:t>
      </w:r>
      <w:r>
        <w:rPr>
          <w:rFonts w:hint="default" w:ascii="Times New Roman" w:hAnsi="Times New Roman" w:eastAsia="仿宋_GB2312" w:cs="Times New Roman"/>
          <w:sz w:val="32"/>
          <w:szCs w:val="32"/>
          <w:lang w:val="zh-CN" w:eastAsia="zh-CN"/>
        </w:rPr>
        <w:t>）成本指标：</w:t>
      </w:r>
      <w:r>
        <w:rPr>
          <w:rFonts w:hint="default" w:ascii="Times New Roman" w:hAnsi="Times New Roman" w:eastAsia="仿宋_GB2312" w:cs="Times New Roman"/>
          <w:sz w:val="32"/>
          <w:szCs w:val="32"/>
          <w:lang w:val="en-US" w:eastAsia="zh-CN"/>
        </w:rPr>
        <w:t>社会化管理工作成本7.69万元</w:t>
      </w:r>
      <w:r>
        <w:rPr>
          <w:rFonts w:hint="default" w:ascii="Times New Roman" w:hAnsi="Times New Roman" w:eastAsia="仿宋_GB2312" w:cs="Times New Roman"/>
          <w:sz w:val="32"/>
          <w:szCs w:val="32"/>
          <w:lang w:val="zh-CN" w:eastAsia="zh-CN"/>
        </w:rPr>
        <w:t>。</w:t>
      </w:r>
    </w:p>
    <w:p w14:paraId="020E33DF">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zh-CN" w:eastAsia="zh-CN"/>
        </w:rPr>
        <w:t>（</w:t>
      </w:r>
      <w:r>
        <w:rPr>
          <w:rFonts w:hint="default" w:ascii="Times New Roman" w:hAnsi="Times New Roman" w:eastAsia="仿宋_GB2312" w:cs="Times New Roman"/>
          <w:sz w:val="32"/>
          <w:szCs w:val="32"/>
          <w:lang w:val="en-US" w:eastAsia="zh-CN"/>
        </w:rPr>
        <w:t>5</w:t>
      </w:r>
      <w:r>
        <w:rPr>
          <w:rFonts w:hint="default" w:ascii="Times New Roman" w:hAnsi="Times New Roman" w:eastAsia="仿宋_GB2312" w:cs="Times New Roman"/>
          <w:sz w:val="32"/>
          <w:szCs w:val="32"/>
          <w:lang w:val="zh-CN" w:eastAsia="zh-CN"/>
        </w:rPr>
        <w:t>）社会效益指标：人民群众获得感、幸福感增强，维护社会稳定。</w:t>
      </w:r>
    </w:p>
    <w:p w14:paraId="02136ADC">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sz w:val="32"/>
          <w:szCs w:val="32"/>
          <w:lang w:val="zh-CN" w:eastAsia="zh-CN"/>
        </w:rPr>
      </w:pPr>
      <w:r>
        <w:rPr>
          <w:rFonts w:hint="default" w:ascii="Times New Roman" w:hAnsi="Times New Roman" w:eastAsia="仿宋_GB2312" w:cs="Times New Roman"/>
          <w:sz w:val="32"/>
          <w:szCs w:val="32"/>
          <w:lang w:val="zh-CN" w:eastAsia="zh-CN"/>
        </w:rPr>
        <w:t>（</w:t>
      </w:r>
      <w:r>
        <w:rPr>
          <w:rFonts w:hint="default" w:ascii="Times New Roman" w:hAnsi="Times New Roman" w:eastAsia="仿宋_GB2312" w:cs="Times New Roman"/>
          <w:sz w:val="32"/>
          <w:szCs w:val="32"/>
          <w:lang w:val="en-US" w:eastAsia="zh-CN"/>
        </w:rPr>
        <w:t>6</w:t>
      </w:r>
      <w:r>
        <w:rPr>
          <w:rFonts w:hint="default" w:ascii="Times New Roman" w:hAnsi="Times New Roman" w:eastAsia="仿宋_GB2312" w:cs="Times New Roman"/>
          <w:sz w:val="32"/>
          <w:szCs w:val="32"/>
          <w:lang w:val="zh-CN" w:eastAsia="zh-CN"/>
        </w:rPr>
        <w:t>）满意度指标：森工退休人员满意度≥90%。</w:t>
      </w:r>
    </w:p>
    <w:p w14:paraId="0C079813">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sz w:val="32"/>
          <w:szCs w:val="32"/>
          <w:lang w:val="zh-CN" w:eastAsia="zh-CN"/>
        </w:rPr>
      </w:pPr>
      <w:r>
        <w:rPr>
          <w:rFonts w:hint="eastAsia" w:ascii="Times New Roman" w:hAnsi="Times New Roman" w:eastAsia="仿宋_GB2312" w:cs="Times New Roman"/>
          <w:sz w:val="32"/>
          <w:szCs w:val="32"/>
          <w:lang w:val="en-US" w:eastAsia="zh-CN"/>
        </w:rPr>
        <w:t>3.</w:t>
      </w:r>
      <w:r>
        <w:rPr>
          <w:rFonts w:hint="default" w:ascii="Times New Roman" w:hAnsi="Times New Roman" w:eastAsia="仿宋_GB2312" w:cs="Times New Roman"/>
          <w:sz w:val="32"/>
          <w:szCs w:val="32"/>
          <w:lang w:val="zh-CN" w:eastAsia="zh-CN"/>
        </w:rPr>
        <w:t>分析评价申报内容是否与实际相符，申报目标是否合理可行。</w:t>
      </w:r>
    </w:p>
    <w:p w14:paraId="1E15B367">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sz w:val="32"/>
          <w:szCs w:val="32"/>
          <w:lang w:val="zh-CN" w:eastAsia="zh-CN"/>
        </w:rPr>
      </w:pPr>
      <w:r>
        <w:rPr>
          <w:rFonts w:hint="eastAsia" w:ascii="Times New Roman" w:hAnsi="Times New Roman" w:eastAsia="仿宋_GB2312" w:cs="Times New Roman"/>
          <w:sz w:val="32"/>
          <w:szCs w:val="32"/>
          <w:lang w:val="en-US" w:eastAsia="zh-CN"/>
        </w:rPr>
        <w:t>攀枝花</w:t>
      </w:r>
      <w:r>
        <w:rPr>
          <w:rFonts w:hint="default" w:ascii="Times New Roman" w:hAnsi="Times New Roman" w:eastAsia="仿宋_GB2312" w:cs="Times New Roman"/>
          <w:sz w:val="32"/>
          <w:szCs w:val="32"/>
          <w:lang w:val="zh-CN" w:eastAsia="zh-CN"/>
        </w:rPr>
        <w:t>市社会保险事务中心按照20</w:t>
      </w:r>
      <w:r>
        <w:rPr>
          <w:rFonts w:hint="default" w:ascii="Times New Roman" w:hAnsi="Times New Roman" w:eastAsia="仿宋_GB2312" w:cs="Times New Roman"/>
          <w:sz w:val="32"/>
          <w:szCs w:val="32"/>
          <w:lang w:val="en-US" w:eastAsia="zh-CN"/>
        </w:rPr>
        <w:t>24</w:t>
      </w:r>
      <w:r>
        <w:rPr>
          <w:rFonts w:hint="default" w:ascii="Times New Roman" w:hAnsi="Times New Roman" w:eastAsia="仿宋_GB2312" w:cs="Times New Roman"/>
          <w:sz w:val="32"/>
          <w:szCs w:val="32"/>
          <w:lang w:val="zh-CN" w:eastAsia="zh-CN"/>
        </w:rPr>
        <w:t>年目标任务制定绩效目标，申报内容与实际相符，申报目标合理可行。</w:t>
      </w:r>
    </w:p>
    <w:p w14:paraId="71A07E7B">
      <w:pPr>
        <w:keepNext w:val="0"/>
        <w:keepLines w:val="0"/>
        <w:pageBreakBefore w:val="0"/>
        <w:kinsoku/>
        <w:wordWrap/>
        <w:overflowPunct/>
        <w:topLinePunct w:val="0"/>
        <w:autoSpaceDE/>
        <w:autoSpaceDN/>
        <w:bidi w:val="0"/>
        <w:adjustRightInd w:val="0"/>
        <w:snapToGrid w:val="0"/>
        <w:spacing w:line="600" w:lineRule="exact"/>
        <w:ind w:firstLine="720"/>
        <w:textAlignment w:val="auto"/>
        <w:rPr>
          <w:rFonts w:hint="default" w:ascii="Times New Roman" w:hAnsi="Times New Roman" w:eastAsia="楷体_GB2312" w:cs="Times New Roman"/>
          <w:b/>
          <w:sz w:val="32"/>
          <w:szCs w:val="32"/>
          <w:lang w:val="zh-CN"/>
        </w:rPr>
      </w:pPr>
      <w:r>
        <w:rPr>
          <w:rFonts w:hint="default" w:ascii="Times New Roman" w:hAnsi="Times New Roman" w:eastAsia="楷体_GB2312" w:cs="Times New Roman"/>
          <w:b/>
          <w:sz w:val="32"/>
          <w:szCs w:val="32"/>
          <w:lang w:val="zh-CN"/>
        </w:rPr>
        <w:t>（三）项目自评步骤及方法</w:t>
      </w:r>
    </w:p>
    <w:p w14:paraId="0A06FDED">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sz w:val="32"/>
          <w:szCs w:val="32"/>
          <w:lang w:val="zh-CN" w:eastAsia="zh-CN"/>
        </w:rPr>
      </w:pPr>
      <w:r>
        <w:rPr>
          <w:rFonts w:hint="eastAsia" w:ascii="Times New Roman" w:hAnsi="Times New Roman" w:eastAsia="仿宋_GB2312" w:cs="Times New Roman"/>
          <w:sz w:val="32"/>
          <w:szCs w:val="32"/>
          <w:lang w:val="en-US" w:eastAsia="zh-CN"/>
        </w:rPr>
        <w:t>攀枝花</w:t>
      </w:r>
      <w:r>
        <w:rPr>
          <w:rFonts w:hint="default" w:ascii="Times New Roman" w:hAnsi="Times New Roman" w:eastAsia="仿宋_GB2312" w:cs="Times New Roman"/>
          <w:sz w:val="32"/>
          <w:szCs w:val="32"/>
          <w:lang w:val="zh-CN" w:eastAsia="zh-CN"/>
        </w:rPr>
        <w:t>市社会保险事务中心项目绩效评价按照前期准备阶段、自评阶段、实施评价阶段、报告撰写阶段、结果运用阶段五个阶段的工作流程。办公室成立项目评价小组对项目资金执行情况进行自查自评。</w:t>
      </w:r>
    </w:p>
    <w:p w14:paraId="32BE91E2">
      <w:pPr>
        <w:keepNext w:val="0"/>
        <w:keepLines w:val="0"/>
        <w:pageBreakBefore w:val="0"/>
        <w:kinsoku/>
        <w:wordWrap/>
        <w:overflowPunct/>
        <w:topLinePunct w:val="0"/>
        <w:autoSpaceDE/>
        <w:autoSpaceDN/>
        <w:bidi w:val="0"/>
        <w:adjustRightInd w:val="0"/>
        <w:snapToGrid w:val="0"/>
        <w:spacing w:line="600" w:lineRule="exact"/>
        <w:ind w:firstLine="72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二、项目资金申报及使用情况</w:t>
      </w:r>
    </w:p>
    <w:p w14:paraId="69029193">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sz w:val="32"/>
          <w:szCs w:val="32"/>
          <w:lang w:val="zh-CN" w:eastAsia="zh-CN"/>
        </w:rPr>
      </w:pPr>
      <w:r>
        <w:rPr>
          <w:rFonts w:hint="default" w:ascii="Times New Roman" w:hAnsi="Times New Roman" w:eastAsia="仿宋_GB2312" w:cs="Times New Roman"/>
          <w:sz w:val="32"/>
          <w:szCs w:val="32"/>
          <w:lang w:val="zh-CN" w:eastAsia="zh-CN"/>
        </w:rPr>
        <w:t>“省管森工社会化管理工作经费”项目资金共</w:t>
      </w:r>
      <w:r>
        <w:rPr>
          <w:rFonts w:hint="default" w:ascii="Times New Roman" w:hAnsi="Times New Roman" w:eastAsia="仿宋_GB2312" w:cs="Times New Roman"/>
          <w:sz w:val="32"/>
          <w:szCs w:val="32"/>
          <w:lang w:val="en-US" w:eastAsia="zh-CN"/>
        </w:rPr>
        <w:t>7.69</w:t>
      </w:r>
      <w:r>
        <w:rPr>
          <w:rFonts w:hint="default" w:ascii="Times New Roman" w:hAnsi="Times New Roman" w:eastAsia="仿宋_GB2312" w:cs="Times New Roman"/>
          <w:sz w:val="32"/>
          <w:szCs w:val="32"/>
          <w:lang w:val="zh-CN" w:eastAsia="zh-CN"/>
        </w:rPr>
        <w:t>万元，资金支付完成100%。</w:t>
      </w:r>
    </w:p>
    <w:p w14:paraId="47BBE6F4">
      <w:pPr>
        <w:keepNext w:val="0"/>
        <w:keepLines w:val="0"/>
        <w:pageBreakBefore w:val="0"/>
        <w:kinsoku/>
        <w:wordWrap/>
        <w:overflowPunct/>
        <w:topLinePunct w:val="0"/>
        <w:autoSpaceDE/>
        <w:autoSpaceDN/>
        <w:bidi w:val="0"/>
        <w:adjustRightInd w:val="0"/>
        <w:snapToGrid w:val="0"/>
        <w:spacing w:line="600" w:lineRule="exact"/>
        <w:ind w:firstLine="720"/>
        <w:textAlignment w:val="auto"/>
        <w:rPr>
          <w:rFonts w:hint="default" w:ascii="Times New Roman" w:hAnsi="Times New Roman" w:eastAsia="楷体_GB2312" w:cs="Times New Roman"/>
          <w:b/>
          <w:sz w:val="32"/>
          <w:szCs w:val="32"/>
          <w:lang w:val="zh-CN"/>
        </w:rPr>
      </w:pPr>
      <w:r>
        <w:rPr>
          <w:rFonts w:hint="default" w:ascii="Times New Roman" w:hAnsi="Times New Roman" w:eastAsia="楷体_GB2312" w:cs="Times New Roman"/>
          <w:b/>
          <w:sz w:val="32"/>
          <w:szCs w:val="32"/>
          <w:lang w:val="zh-CN"/>
        </w:rPr>
        <w:t>（一）项目资金申报及批复情况</w:t>
      </w:r>
    </w:p>
    <w:p w14:paraId="0B44F541">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sz w:val="32"/>
          <w:szCs w:val="32"/>
          <w:lang w:val="zh-CN" w:eastAsia="zh-CN"/>
        </w:rPr>
      </w:pPr>
      <w:r>
        <w:rPr>
          <w:rFonts w:hint="default" w:ascii="Times New Roman" w:hAnsi="Times New Roman" w:eastAsia="仿宋_GB2312" w:cs="Times New Roman"/>
          <w:sz w:val="32"/>
          <w:szCs w:val="32"/>
          <w:lang w:val="zh-CN" w:eastAsia="zh-CN"/>
        </w:rPr>
        <w:t>“省管森工社会化管理工作经费”项目资金由省级财政下拨，</w:t>
      </w:r>
      <w:r>
        <w:rPr>
          <w:rFonts w:hint="eastAsia" w:ascii="Times New Roman" w:hAnsi="Times New Roman" w:eastAsia="仿宋_GB2312" w:cs="Times New Roman"/>
          <w:sz w:val="32"/>
          <w:szCs w:val="32"/>
          <w:lang w:val="en-US" w:eastAsia="zh-CN"/>
        </w:rPr>
        <w:t>攀枝花</w:t>
      </w:r>
      <w:r>
        <w:rPr>
          <w:rFonts w:hint="default" w:ascii="Times New Roman" w:hAnsi="Times New Roman" w:eastAsia="仿宋_GB2312" w:cs="Times New Roman"/>
          <w:sz w:val="32"/>
          <w:szCs w:val="32"/>
          <w:lang w:val="zh-CN" w:eastAsia="zh-CN"/>
        </w:rPr>
        <w:t>市社会保险事务中心在“预算管理一体化系统”中申报项目资金，市级财政完成批复并下达指标。</w:t>
      </w:r>
    </w:p>
    <w:p w14:paraId="0E3606FD">
      <w:pPr>
        <w:keepNext w:val="0"/>
        <w:keepLines w:val="0"/>
        <w:pageBreakBefore w:val="0"/>
        <w:kinsoku/>
        <w:wordWrap/>
        <w:overflowPunct/>
        <w:topLinePunct w:val="0"/>
        <w:autoSpaceDE/>
        <w:autoSpaceDN/>
        <w:bidi w:val="0"/>
        <w:adjustRightInd w:val="0"/>
        <w:snapToGrid w:val="0"/>
        <w:spacing w:line="600" w:lineRule="exact"/>
        <w:ind w:firstLine="720"/>
        <w:textAlignment w:val="auto"/>
        <w:rPr>
          <w:rFonts w:hint="default" w:ascii="Times New Roman" w:hAnsi="Times New Roman" w:cs="Times New Roman"/>
          <w:sz w:val="32"/>
          <w:szCs w:val="32"/>
          <w:lang w:val="zh-CN"/>
        </w:rPr>
      </w:pPr>
      <w:r>
        <w:rPr>
          <w:rFonts w:hint="default" w:ascii="Times New Roman" w:hAnsi="Times New Roman" w:eastAsia="楷体_GB2312" w:cs="Times New Roman"/>
          <w:b/>
          <w:sz w:val="32"/>
          <w:szCs w:val="32"/>
          <w:lang w:val="zh-CN"/>
        </w:rPr>
        <w:t>（二）资金计划、到位及使用情况</w:t>
      </w:r>
    </w:p>
    <w:p w14:paraId="5B2A9519">
      <w:pPr>
        <w:keepNext w:val="0"/>
        <w:keepLines w:val="0"/>
        <w:pageBreakBefore w:val="0"/>
        <w:kinsoku/>
        <w:wordWrap/>
        <w:overflowPunct/>
        <w:topLinePunct w:val="0"/>
        <w:autoSpaceDE/>
        <w:autoSpaceDN/>
        <w:bidi w:val="0"/>
        <w:adjustRightInd w:val="0"/>
        <w:snapToGrid w:val="0"/>
        <w:spacing w:line="600" w:lineRule="exact"/>
        <w:ind w:firstLine="720"/>
        <w:textAlignment w:val="auto"/>
        <w:rPr>
          <w:rFonts w:hint="default" w:ascii="Times New Roman" w:hAnsi="Times New Roman" w:eastAsia="楷体_GB2312" w:cs="Times New Roman"/>
          <w:sz w:val="32"/>
          <w:szCs w:val="32"/>
          <w:lang w:val="zh-CN"/>
        </w:rPr>
      </w:pPr>
      <w:r>
        <w:rPr>
          <w:rFonts w:hint="eastAsia" w:ascii="Times New Roman" w:hAnsi="Times New Roman" w:eastAsia="楷体_GB2312" w:cs="Times New Roman"/>
          <w:sz w:val="32"/>
          <w:szCs w:val="32"/>
          <w:lang w:val="en-US" w:eastAsia="zh-CN"/>
        </w:rPr>
        <w:t>1.</w:t>
      </w:r>
      <w:r>
        <w:rPr>
          <w:rFonts w:hint="default" w:ascii="Times New Roman" w:hAnsi="Times New Roman" w:eastAsia="楷体_GB2312" w:cs="Times New Roman"/>
          <w:sz w:val="32"/>
          <w:szCs w:val="32"/>
          <w:lang w:val="zh-CN"/>
        </w:rPr>
        <w:t>资金计划。</w:t>
      </w:r>
    </w:p>
    <w:p w14:paraId="63474B3F">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sz w:val="32"/>
          <w:szCs w:val="32"/>
          <w:lang w:val="zh-CN" w:eastAsia="zh-CN"/>
        </w:rPr>
      </w:pPr>
      <w:r>
        <w:rPr>
          <w:rFonts w:hint="default" w:ascii="Times New Roman" w:hAnsi="Times New Roman" w:eastAsia="仿宋_GB2312" w:cs="Times New Roman"/>
          <w:sz w:val="32"/>
          <w:szCs w:val="32"/>
          <w:lang w:val="zh-CN" w:eastAsia="zh-CN"/>
        </w:rPr>
        <w:t>此项目资金</w:t>
      </w:r>
      <w:r>
        <w:rPr>
          <w:rFonts w:hint="default" w:ascii="Times New Roman" w:hAnsi="Times New Roman" w:eastAsia="仿宋_GB2312" w:cs="Times New Roman"/>
          <w:sz w:val="32"/>
          <w:szCs w:val="32"/>
          <w:lang w:val="en-US" w:eastAsia="zh-CN"/>
        </w:rPr>
        <w:t>7.69</w:t>
      </w:r>
      <w:r>
        <w:rPr>
          <w:rFonts w:hint="default" w:ascii="Times New Roman" w:hAnsi="Times New Roman" w:eastAsia="仿宋_GB2312" w:cs="Times New Roman"/>
          <w:sz w:val="32"/>
          <w:szCs w:val="32"/>
          <w:lang w:val="zh-CN" w:eastAsia="zh-CN"/>
        </w:rPr>
        <w:t>万元，主要用于开展省管重点森工企业离退休人员基本养老保险待遇发放和领取资格认证工作。</w:t>
      </w:r>
    </w:p>
    <w:p w14:paraId="1A36BA0B">
      <w:pPr>
        <w:keepNext w:val="0"/>
        <w:keepLines w:val="0"/>
        <w:pageBreakBefore w:val="0"/>
        <w:numPr>
          <w:ilvl w:val="0"/>
          <w:numId w:val="0"/>
        </w:numPr>
        <w:kinsoku/>
        <w:wordWrap/>
        <w:overflowPunct/>
        <w:topLinePunct w:val="0"/>
        <w:autoSpaceDE/>
        <w:autoSpaceDN/>
        <w:bidi w:val="0"/>
        <w:adjustRightInd w:val="0"/>
        <w:snapToGrid w:val="0"/>
        <w:spacing w:line="600" w:lineRule="exact"/>
        <w:ind w:firstLine="640" w:firstLineChars="200"/>
        <w:textAlignment w:val="auto"/>
        <w:rPr>
          <w:rFonts w:hint="default" w:ascii="Times New Roman" w:hAnsi="Times New Roman" w:eastAsia="楷体_GB2312" w:cs="Times New Roman"/>
          <w:sz w:val="32"/>
          <w:szCs w:val="32"/>
          <w:lang w:val="zh-CN"/>
        </w:rPr>
      </w:pPr>
      <w:r>
        <w:rPr>
          <w:rFonts w:hint="eastAsia" w:ascii="Times New Roman" w:hAnsi="Times New Roman" w:eastAsia="楷体_GB2312" w:cs="Times New Roman"/>
          <w:sz w:val="32"/>
          <w:szCs w:val="32"/>
          <w:lang w:val="en-US" w:eastAsia="zh-CN"/>
        </w:rPr>
        <w:t>2.</w:t>
      </w:r>
      <w:r>
        <w:rPr>
          <w:rFonts w:hint="default" w:ascii="Times New Roman" w:hAnsi="Times New Roman" w:eastAsia="楷体_GB2312" w:cs="Times New Roman"/>
          <w:sz w:val="32"/>
          <w:szCs w:val="32"/>
          <w:lang w:val="zh-CN"/>
        </w:rPr>
        <w:t>资金到位。</w:t>
      </w:r>
    </w:p>
    <w:p w14:paraId="03A91039">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sz w:val="32"/>
          <w:szCs w:val="32"/>
          <w:lang w:val="zh-CN" w:eastAsia="zh-CN"/>
        </w:rPr>
      </w:pPr>
      <w:r>
        <w:rPr>
          <w:rFonts w:hint="default" w:ascii="Times New Roman" w:hAnsi="Times New Roman" w:eastAsia="仿宋_GB2312" w:cs="Times New Roman"/>
          <w:sz w:val="32"/>
          <w:szCs w:val="32"/>
          <w:lang w:val="zh-CN" w:eastAsia="zh-CN"/>
        </w:rPr>
        <w:t>此项目资金</w:t>
      </w:r>
      <w:r>
        <w:rPr>
          <w:rFonts w:hint="default" w:ascii="Times New Roman" w:hAnsi="Times New Roman" w:eastAsia="仿宋_GB2312" w:cs="Times New Roman"/>
          <w:sz w:val="32"/>
          <w:szCs w:val="32"/>
          <w:lang w:val="en-US" w:eastAsia="zh-CN"/>
        </w:rPr>
        <w:t>7.69</w:t>
      </w:r>
      <w:r>
        <w:rPr>
          <w:rFonts w:hint="default" w:ascii="Times New Roman" w:hAnsi="Times New Roman" w:eastAsia="仿宋_GB2312" w:cs="Times New Roman"/>
          <w:sz w:val="32"/>
          <w:szCs w:val="32"/>
          <w:lang w:val="zh-CN" w:eastAsia="zh-CN"/>
        </w:rPr>
        <w:t>万元，于202</w:t>
      </w:r>
      <w:r>
        <w:rPr>
          <w:rFonts w:hint="default" w:ascii="Times New Roman" w:hAnsi="Times New Roman" w:eastAsia="仿宋_GB2312" w:cs="Times New Roman"/>
          <w:sz w:val="32"/>
          <w:szCs w:val="32"/>
          <w:lang w:val="en-US" w:eastAsia="zh-CN"/>
        </w:rPr>
        <w:t>4</w:t>
      </w:r>
      <w:r>
        <w:rPr>
          <w:rFonts w:hint="default" w:ascii="Times New Roman" w:hAnsi="Times New Roman" w:eastAsia="仿宋_GB2312" w:cs="Times New Roman"/>
          <w:sz w:val="32"/>
          <w:szCs w:val="32"/>
          <w:lang w:val="zh-CN" w:eastAsia="zh-CN"/>
        </w:rPr>
        <w:t>年中由市级财政批复并下达预算指标，到位率100%。</w:t>
      </w:r>
    </w:p>
    <w:p w14:paraId="51CAD5ED">
      <w:pPr>
        <w:keepNext w:val="0"/>
        <w:keepLines w:val="0"/>
        <w:pageBreakBefore w:val="0"/>
        <w:kinsoku/>
        <w:wordWrap/>
        <w:overflowPunct/>
        <w:topLinePunct w:val="0"/>
        <w:autoSpaceDE/>
        <w:autoSpaceDN/>
        <w:bidi w:val="0"/>
        <w:adjustRightInd w:val="0"/>
        <w:snapToGrid w:val="0"/>
        <w:spacing w:line="600" w:lineRule="exact"/>
        <w:ind w:firstLine="720"/>
        <w:textAlignment w:val="auto"/>
        <w:rPr>
          <w:rFonts w:hint="default" w:ascii="Times New Roman" w:hAnsi="Times New Roman" w:eastAsia="楷体_GB2312" w:cs="Times New Roman"/>
          <w:sz w:val="32"/>
          <w:szCs w:val="32"/>
          <w:lang w:val="zh-CN"/>
        </w:rPr>
      </w:pPr>
      <w:r>
        <w:rPr>
          <w:rFonts w:hint="eastAsia" w:ascii="Times New Roman" w:hAnsi="Times New Roman" w:eastAsia="楷体_GB2312" w:cs="Times New Roman"/>
          <w:sz w:val="32"/>
          <w:szCs w:val="32"/>
          <w:lang w:val="en-US" w:eastAsia="zh-CN"/>
        </w:rPr>
        <w:t>3.</w:t>
      </w:r>
      <w:r>
        <w:rPr>
          <w:rFonts w:hint="default" w:ascii="Times New Roman" w:hAnsi="Times New Roman" w:eastAsia="楷体_GB2312" w:cs="Times New Roman"/>
          <w:sz w:val="32"/>
          <w:szCs w:val="32"/>
          <w:lang w:val="zh-CN"/>
        </w:rPr>
        <w:t>资金使用。</w:t>
      </w:r>
    </w:p>
    <w:p w14:paraId="2E1A0957">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此项目资金主要</w:t>
      </w:r>
      <w:r>
        <w:rPr>
          <w:rFonts w:hint="default" w:ascii="Times New Roman" w:hAnsi="Times New Roman" w:eastAsia="仿宋_GB2312" w:cs="Times New Roman"/>
          <w:sz w:val="32"/>
          <w:szCs w:val="32"/>
          <w:lang w:val="zh-CN" w:eastAsia="zh-CN"/>
        </w:rPr>
        <w:t>用于</w:t>
      </w:r>
      <w:r>
        <w:rPr>
          <w:rFonts w:hint="eastAsia" w:ascii="Times New Roman" w:hAnsi="Times New Roman" w:eastAsia="仿宋_GB2312" w:cs="Times New Roman"/>
          <w:sz w:val="32"/>
          <w:szCs w:val="32"/>
          <w:lang w:val="en-US" w:eastAsia="zh-CN"/>
        </w:rPr>
        <w:t>攀枝花</w:t>
      </w:r>
      <w:r>
        <w:rPr>
          <w:rFonts w:hint="default" w:ascii="Times New Roman" w:hAnsi="Times New Roman" w:eastAsia="仿宋_GB2312" w:cs="Times New Roman"/>
          <w:sz w:val="32"/>
          <w:szCs w:val="32"/>
          <w:lang w:val="zh-CN" w:eastAsia="zh-CN"/>
        </w:rPr>
        <w:t>市社会保险事务中心确</w:t>
      </w:r>
      <w:r>
        <w:rPr>
          <w:rFonts w:hint="default" w:ascii="Times New Roman" w:hAnsi="Times New Roman" w:eastAsia="仿宋_GB2312" w:cs="Times New Roman"/>
          <w:sz w:val="32"/>
          <w:szCs w:val="32"/>
          <w:lang w:val="en-US" w:eastAsia="zh-CN"/>
        </w:rPr>
        <w:t>保全市社保经办机构代管的省管森工企业离退休人员基本养老金按时足额发放，提升省管森工企业离退休人员社会化管理服务水平。</w:t>
      </w:r>
      <w:r>
        <w:rPr>
          <w:rFonts w:hint="default" w:ascii="Times New Roman" w:hAnsi="Times New Roman" w:eastAsia="仿宋_GB2312" w:cs="Times New Roman"/>
          <w:sz w:val="32"/>
          <w:szCs w:val="32"/>
          <w:lang w:val="zh-CN" w:eastAsia="zh-CN"/>
        </w:rPr>
        <w:t>资金</w:t>
      </w:r>
      <w:r>
        <w:rPr>
          <w:rFonts w:hint="default" w:ascii="Times New Roman" w:hAnsi="Times New Roman" w:eastAsia="仿宋_GB2312" w:cs="Times New Roman"/>
          <w:sz w:val="32"/>
          <w:szCs w:val="32"/>
          <w:lang w:val="en-US" w:eastAsia="zh-CN"/>
        </w:rPr>
        <w:t>到位后，市社会保险事务中心严格按财经纪律、财务管理等相关规定，严格审核各项支出，及时支付，资金支付完成100%。</w:t>
      </w:r>
    </w:p>
    <w:p w14:paraId="7CE9687F">
      <w:pPr>
        <w:keepNext w:val="0"/>
        <w:keepLines w:val="0"/>
        <w:pageBreakBefore w:val="0"/>
        <w:kinsoku/>
        <w:wordWrap/>
        <w:overflowPunct/>
        <w:topLinePunct w:val="0"/>
        <w:autoSpaceDE/>
        <w:autoSpaceDN/>
        <w:bidi w:val="0"/>
        <w:adjustRightInd w:val="0"/>
        <w:snapToGrid w:val="0"/>
        <w:spacing w:line="600" w:lineRule="exact"/>
        <w:ind w:firstLine="720"/>
        <w:textAlignment w:val="auto"/>
        <w:rPr>
          <w:rFonts w:hint="default" w:ascii="Times New Roman" w:hAnsi="Times New Roman" w:eastAsia="楷体_GB2312" w:cs="Times New Roman"/>
          <w:b/>
          <w:sz w:val="32"/>
          <w:szCs w:val="32"/>
          <w:lang w:val="zh-CN"/>
        </w:rPr>
      </w:pPr>
      <w:r>
        <w:rPr>
          <w:rFonts w:hint="default" w:ascii="Times New Roman" w:hAnsi="Times New Roman" w:eastAsia="楷体_GB2312" w:cs="Times New Roman"/>
          <w:b/>
          <w:sz w:val="32"/>
          <w:szCs w:val="32"/>
          <w:lang w:val="zh-CN"/>
        </w:rPr>
        <w:t>（三）项目财务管理情况</w:t>
      </w:r>
    </w:p>
    <w:p w14:paraId="5DDB4B26">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sz w:val="32"/>
          <w:szCs w:val="32"/>
          <w:lang w:val="zh-CN" w:eastAsia="zh-CN"/>
        </w:rPr>
      </w:pPr>
      <w:r>
        <w:rPr>
          <w:rFonts w:hint="eastAsia" w:ascii="Times New Roman" w:hAnsi="Times New Roman" w:eastAsia="仿宋_GB2312" w:cs="Times New Roman"/>
          <w:sz w:val="32"/>
          <w:szCs w:val="32"/>
          <w:lang w:val="en-US" w:eastAsia="zh-CN"/>
        </w:rPr>
        <w:t>攀枝花</w:t>
      </w:r>
      <w:r>
        <w:rPr>
          <w:rFonts w:hint="default" w:ascii="Times New Roman" w:hAnsi="Times New Roman" w:eastAsia="仿宋_GB2312" w:cs="Times New Roman"/>
          <w:sz w:val="32"/>
          <w:szCs w:val="32"/>
          <w:lang w:val="en-US" w:eastAsia="zh-CN"/>
        </w:rPr>
        <w:t>市社会保险事务中心</w:t>
      </w:r>
      <w:r>
        <w:rPr>
          <w:rFonts w:hint="default" w:ascii="Times New Roman" w:hAnsi="Times New Roman" w:eastAsia="仿宋_GB2312" w:cs="Times New Roman"/>
          <w:sz w:val="32"/>
          <w:szCs w:val="32"/>
          <w:lang w:val="zh-CN" w:eastAsia="zh-CN"/>
        </w:rPr>
        <w:t>建立了财务管理制度，由办公室统一管理</w:t>
      </w:r>
      <w:r>
        <w:rPr>
          <w:rFonts w:hint="default" w:ascii="Times New Roman" w:hAnsi="Times New Roman" w:eastAsia="仿宋_GB2312" w:cs="Times New Roman"/>
          <w:sz w:val="32"/>
          <w:szCs w:val="32"/>
          <w:lang w:val="en-US" w:eastAsia="zh-CN"/>
        </w:rPr>
        <w:t xml:space="preserve"> “省管森工社会化管理工作经费”</w:t>
      </w:r>
      <w:r>
        <w:rPr>
          <w:rFonts w:hint="default" w:ascii="Times New Roman" w:hAnsi="Times New Roman" w:eastAsia="仿宋_GB2312" w:cs="Times New Roman"/>
          <w:sz w:val="32"/>
          <w:szCs w:val="32"/>
          <w:lang w:val="zh-CN" w:eastAsia="zh-CN"/>
        </w:rPr>
        <w:t>项目资金，</w:t>
      </w:r>
      <w:r>
        <w:rPr>
          <w:rFonts w:hint="default" w:ascii="Times New Roman" w:hAnsi="Times New Roman" w:eastAsia="仿宋_GB2312" w:cs="Times New Roman"/>
          <w:sz w:val="32"/>
          <w:szCs w:val="32"/>
          <w:lang w:val="en-US" w:eastAsia="zh-CN"/>
        </w:rPr>
        <w:t>严格按照上级要求上报资金使用计划，并在实施过程中做到资金专项专用。所有支出严格按照财务会计管理规定，做到资金使用有计划、审批有手续、支出合理规范。并</w:t>
      </w:r>
      <w:r>
        <w:rPr>
          <w:rFonts w:hint="default" w:ascii="Times New Roman" w:hAnsi="Times New Roman" w:eastAsia="仿宋_GB2312" w:cs="Times New Roman"/>
          <w:sz w:val="32"/>
          <w:szCs w:val="32"/>
          <w:lang w:val="zh-CN" w:eastAsia="zh-CN"/>
        </w:rPr>
        <w:t>及时进行账务处理和会计核算，按财政要求及时编制和公开项目资金绩效目标。</w:t>
      </w:r>
    </w:p>
    <w:p w14:paraId="7D8F05D7">
      <w:pPr>
        <w:keepNext w:val="0"/>
        <w:keepLines w:val="0"/>
        <w:pageBreakBefore w:val="0"/>
        <w:kinsoku/>
        <w:wordWrap/>
        <w:overflowPunct/>
        <w:topLinePunct w:val="0"/>
        <w:autoSpaceDE/>
        <w:autoSpaceDN/>
        <w:bidi w:val="0"/>
        <w:adjustRightInd w:val="0"/>
        <w:snapToGrid w:val="0"/>
        <w:spacing w:line="600" w:lineRule="exact"/>
        <w:ind w:firstLine="72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三、项目实施及管理情况</w:t>
      </w:r>
    </w:p>
    <w:p w14:paraId="6F4F44ED">
      <w:pPr>
        <w:keepNext w:val="0"/>
        <w:keepLines w:val="0"/>
        <w:pageBreakBefore w:val="0"/>
        <w:numPr>
          <w:ilvl w:val="0"/>
          <w:numId w:val="3"/>
        </w:numPr>
        <w:kinsoku/>
        <w:wordWrap/>
        <w:overflowPunct/>
        <w:topLinePunct w:val="0"/>
        <w:autoSpaceDE/>
        <w:autoSpaceDN/>
        <w:bidi w:val="0"/>
        <w:adjustRightInd w:val="0"/>
        <w:snapToGrid w:val="0"/>
        <w:spacing w:line="600" w:lineRule="exact"/>
        <w:ind w:firstLine="720"/>
        <w:textAlignment w:val="auto"/>
        <w:rPr>
          <w:rFonts w:hint="default" w:ascii="Times New Roman" w:hAnsi="Times New Roman" w:eastAsia="楷体_GB2312" w:cs="Times New Roman"/>
          <w:b/>
          <w:sz w:val="32"/>
          <w:szCs w:val="32"/>
          <w:lang w:val="zh-CN"/>
        </w:rPr>
      </w:pPr>
      <w:r>
        <w:rPr>
          <w:rFonts w:hint="default" w:ascii="Times New Roman" w:hAnsi="Times New Roman" w:eastAsia="楷体_GB2312" w:cs="Times New Roman"/>
          <w:b/>
          <w:sz w:val="32"/>
          <w:szCs w:val="32"/>
          <w:lang w:val="zh-CN"/>
        </w:rPr>
        <w:t>项目组织架构及实施流程</w:t>
      </w:r>
    </w:p>
    <w:p w14:paraId="4D1DCFA7">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sz w:val="32"/>
          <w:szCs w:val="32"/>
          <w:lang w:val="zh-CN" w:eastAsia="zh-CN"/>
        </w:rPr>
      </w:pPr>
      <w:r>
        <w:rPr>
          <w:rFonts w:hint="default" w:ascii="Times New Roman" w:hAnsi="Times New Roman" w:eastAsia="仿宋_GB2312" w:cs="Times New Roman"/>
          <w:sz w:val="32"/>
          <w:szCs w:val="32"/>
          <w:lang w:val="zh-CN" w:eastAsia="zh-CN"/>
        </w:rPr>
        <w:t>办公室在部门预算中申报项目资金，并制定绩效目标；按照项目执行情况在“预算管理一体化系统”中完成资金的申请和支付。</w:t>
      </w:r>
      <w:r>
        <w:rPr>
          <w:rFonts w:hint="default" w:ascii="Times New Roman" w:hAnsi="Times New Roman" w:eastAsia="仿宋_GB2312" w:cs="Times New Roman"/>
          <w:sz w:val="32"/>
          <w:szCs w:val="32"/>
          <w:lang w:val="en-US" w:eastAsia="zh-CN"/>
        </w:rPr>
        <w:t>稽核科成立项目督导检查工作小组，不定期对项目执行进度情况进行督导检查</w:t>
      </w:r>
      <w:r>
        <w:rPr>
          <w:rFonts w:hint="default" w:ascii="Times New Roman" w:hAnsi="Times New Roman" w:eastAsia="仿宋_GB2312" w:cs="Times New Roman"/>
          <w:sz w:val="32"/>
          <w:szCs w:val="32"/>
          <w:lang w:val="zh-CN" w:eastAsia="zh-CN"/>
        </w:rPr>
        <w:t>。</w:t>
      </w:r>
    </w:p>
    <w:p w14:paraId="5C3900ED">
      <w:pPr>
        <w:keepNext w:val="0"/>
        <w:keepLines w:val="0"/>
        <w:pageBreakBefore w:val="0"/>
        <w:numPr>
          <w:ilvl w:val="0"/>
          <w:numId w:val="3"/>
        </w:numPr>
        <w:kinsoku/>
        <w:wordWrap/>
        <w:overflowPunct/>
        <w:topLinePunct w:val="0"/>
        <w:autoSpaceDE/>
        <w:autoSpaceDN/>
        <w:bidi w:val="0"/>
        <w:adjustRightInd w:val="0"/>
        <w:snapToGrid w:val="0"/>
        <w:spacing w:line="600" w:lineRule="exact"/>
        <w:ind w:left="0" w:leftChars="0" w:firstLine="720" w:firstLineChars="0"/>
        <w:textAlignment w:val="auto"/>
        <w:rPr>
          <w:rFonts w:hint="default" w:ascii="Times New Roman" w:hAnsi="Times New Roman" w:eastAsia="楷体_GB2312" w:cs="Times New Roman"/>
          <w:b/>
          <w:sz w:val="32"/>
          <w:szCs w:val="32"/>
          <w:lang w:val="zh-CN"/>
        </w:rPr>
      </w:pPr>
      <w:r>
        <w:rPr>
          <w:rFonts w:hint="default" w:ascii="Times New Roman" w:hAnsi="Times New Roman" w:eastAsia="楷体_GB2312" w:cs="Times New Roman"/>
          <w:b/>
          <w:sz w:val="32"/>
          <w:szCs w:val="32"/>
          <w:lang w:val="zh-CN"/>
        </w:rPr>
        <w:t>项目管理情况</w:t>
      </w:r>
    </w:p>
    <w:p w14:paraId="3D0AAA49">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sz w:val="32"/>
          <w:szCs w:val="32"/>
          <w:lang w:val="zh-CN" w:eastAsia="zh-CN"/>
        </w:rPr>
      </w:pPr>
      <w:r>
        <w:rPr>
          <w:rFonts w:hint="default" w:ascii="Times New Roman" w:hAnsi="Times New Roman" w:eastAsia="仿宋_GB2312" w:cs="Times New Roman"/>
          <w:sz w:val="32"/>
          <w:szCs w:val="32"/>
          <w:lang w:val="zh-CN" w:eastAsia="zh-CN"/>
        </w:rPr>
        <w:t>严格按照《四川省财政厅四川省人力资源和社会保障厅关于印发〈森工人员退休管理专项资金管理办法〉的通知》(川财社〔20</w:t>
      </w:r>
      <w:r>
        <w:rPr>
          <w:rFonts w:hint="eastAsia" w:eastAsia="仿宋_GB2312" w:cs="Times New Roman"/>
          <w:sz w:val="32"/>
          <w:szCs w:val="32"/>
          <w:lang w:val="en-US" w:eastAsia="zh-CN"/>
        </w:rPr>
        <w:t>17</w:t>
      </w:r>
      <w:r>
        <w:rPr>
          <w:rFonts w:hint="default" w:ascii="Times New Roman" w:hAnsi="Times New Roman" w:eastAsia="仿宋_GB2312" w:cs="Times New Roman"/>
          <w:sz w:val="32"/>
          <w:szCs w:val="32"/>
          <w:lang w:val="zh-CN" w:eastAsia="zh-CN"/>
        </w:rPr>
        <w:t>〕7号)文件要求使用项目资金。</w:t>
      </w:r>
    </w:p>
    <w:p w14:paraId="4DD43657">
      <w:pPr>
        <w:keepNext w:val="0"/>
        <w:keepLines w:val="0"/>
        <w:pageBreakBefore w:val="0"/>
        <w:numPr>
          <w:ilvl w:val="0"/>
          <w:numId w:val="0"/>
        </w:numPr>
        <w:kinsoku/>
        <w:wordWrap/>
        <w:overflowPunct/>
        <w:topLinePunct w:val="0"/>
        <w:autoSpaceDE/>
        <w:autoSpaceDN/>
        <w:bidi w:val="0"/>
        <w:adjustRightInd w:val="0"/>
        <w:snapToGrid w:val="0"/>
        <w:spacing w:line="600" w:lineRule="exact"/>
        <w:ind w:left="720" w:leftChars="0"/>
        <w:textAlignment w:val="auto"/>
        <w:rPr>
          <w:rFonts w:hint="default" w:ascii="Times New Roman" w:hAnsi="Times New Roman" w:cs="Times New Roman"/>
          <w:sz w:val="32"/>
          <w:szCs w:val="32"/>
          <w:lang w:val="zh-CN"/>
        </w:rPr>
      </w:pPr>
      <w:r>
        <w:rPr>
          <w:rFonts w:hint="default" w:ascii="Times New Roman" w:hAnsi="Times New Roman" w:eastAsia="楷体_GB2312" w:cs="Times New Roman"/>
          <w:b/>
          <w:sz w:val="32"/>
          <w:szCs w:val="32"/>
          <w:lang w:val="zh-CN"/>
        </w:rPr>
        <w:t>（三）项目监管情况</w:t>
      </w:r>
    </w:p>
    <w:p w14:paraId="1FB1D349">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攀枝花</w:t>
      </w:r>
      <w:r>
        <w:rPr>
          <w:rFonts w:hint="default" w:ascii="Times New Roman" w:hAnsi="Times New Roman" w:eastAsia="仿宋_GB2312" w:cs="Times New Roman"/>
          <w:sz w:val="32"/>
          <w:szCs w:val="32"/>
          <w:lang w:val="en-US" w:eastAsia="zh-CN"/>
        </w:rPr>
        <w:t>市社会保险事务中心稽核科成立项目督导检查工作小组，不定期对项目执行进度情况进行督导检查，对检查过程中发现的问题及时督促整改，确保了项目按时保质完成。</w:t>
      </w:r>
    </w:p>
    <w:p w14:paraId="2EAC2C49">
      <w:pPr>
        <w:keepNext w:val="0"/>
        <w:keepLines w:val="0"/>
        <w:pageBreakBefore w:val="0"/>
        <w:kinsoku/>
        <w:wordWrap/>
        <w:overflowPunct/>
        <w:topLinePunct w:val="0"/>
        <w:autoSpaceDE/>
        <w:autoSpaceDN/>
        <w:bidi w:val="0"/>
        <w:adjustRightInd w:val="0"/>
        <w:snapToGrid w:val="0"/>
        <w:spacing w:line="600" w:lineRule="exact"/>
        <w:ind w:firstLine="720"/>
        <w:textAlignment w:val="auto"/>
        <w:rPr>
          <w:rFonts w:hint="default" w:ascii="Times New Roman" w:hAnsi="Times New Roman" w:cs="Times New Roman"/>
          <w:sz w:val="32"/>
          <w:szCs w:val="32"/>
          <w:lang w:val="zh-CN"/>
        </w:rPr>
      </w:pPr>
      <w:r>
        <w:rPr>
          <w:rFonts w:hint="default" w:ascii="Times New Roman" w:hAnsi="Times New Roman" w:eastAsia="黑体" w:cs="Times New Roman"/>
          <w:sz w:val="32"/>
          <w:szCs w:val="32"/>
        </w:rPr>
        <w:t>四、项目绩效情况</w:t>
      </w:r>
      <w:r>
        <w:rPr>
          <w:rFonts w:hint="default" w:ascii="Times New Roman" w:hAnsi="Times New Roman" w:cs="Times New Roman"/>
          <w:sz w:val="32"/>
          <w:szCs w:val="32"/>
          <w:lang w:val="zh-CN"/>
        </w:rPr>
        <w:tab/>
      </w:r>
    </w:p>
    <w:p w14:paraId="68AC4E7D">
      <w:pPr>
        <w:keepNext w:val="0"/>
        <w:keepLines w:val="0"/>
        <w:pageBreakBefore w:val="0"/>
        <w:kinsoku/>
        <w:wordWrap/>
        <w:overflowPunct/>
        <w:topLinePunct w:val="0"/>
        <w:autoSpaceDE/>
        <w:autoSpaceDN/>
        <w:bidi w:val="0"/>
        <w:adjustRightInd w:val="0"/>
        <w:snapToGrid w:val="0"/>
        <w:spacing w:line="600" w:lineRule="exact"/>
        <w:ind w:firstLine="720"/>
        <w:textAlignment w:val="auto"/>
        <w:rPr>
          <w:rFonts w:hint="default" w:ascii="Times New Roman" w:hAnsi="Times New Roman" w:eastAsia="楷体_GB2312" w:cs="Times New Roman"/>
          <w:b/>
          <w:sz w:val="32"/>
          <w:szCs w:val="32"/>
          <w:lang w:val="zh-CN"/>
        </w:rPr>
      </w:pPr>
      <w:r>
        <w:rPr>
          <w:rFonts w:hint="default" w:ascii="Times New Roman" w:hAnsi="Times New Roman" w:eastAsia="楷体_GB2312" w:cs="Times New Roman"/>
          <w:b/>
          <w:sz w:val="32"/>
          <w:szCs w:val="32"/>
          <w:lang w:val="zh-CN"/>
        </w:rPr>
        <w:t>（一）项目完成情况</w:t>
      </w:r>
    </w:p>
    <w:p w14:paraId="769DFF9F">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“省管森工社会化管理工作经费”项目在当期完成了项目的总体实施，执行率100%。确保代管的省管森工企业离退休人员基本养老金按时足额发放，提升省管森工企业离退休人员社会化管理服务水平。</w:t>
      </w:r>
    </w:p>
    <w:p w14:paraId="3F998674">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（1）质量指标：按时足额发放率达到100%。</w:t>
      </w:r>
    </w:p>
    <w:p w14:paraId="26974631">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（2）数量指标：森工企业退休人员数量≥750人。</w:t>
      </w:r>
    </w:p>
    <w:p w14:paraId="7FD60072">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（3）时效指标：1年内完成。</w:t>
      </w:r>
    </w:p>
    <w:p w14:paraId="0D0AC0A6">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（4）成本指标：社会化管理工作成本7.69万元。</w:t>
      </w:r>
    </w:p>
    <w:p w14:paraId="7A9E638A">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（5）社会效益指标：人民群众获得感、幸福感增强，维护社会稳定。</w:t>
      </w:r>
    </w:p>
    <w:p w14:paraId="34D2F0FE">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（6）满意度指标：森工退休人员满意度≥90%。</w:t>
      </w:r>
    </w:p>
    <w:p w14:paraId="383FEAFF">
      <w:pPr>
        <w:keepNext w:val="0"/>
        <w:keepLines w:val="0"/>
        <w:pageBreakBefore w:val="0"/>
        <w:kinsoku/>
        <w:wordWrap/>
        <w:overflowPunct/>
        <w:topLinePunct w:val="0"/>
        <w:autoSpaceDE/>
        <w:autoSpaceDN/>
        <w:bidi w:val="0"/>
        <w:adjustRightInd w:val="0"/>
        <w:snapToGrid w:val="0"/>
        <w:spacing w:line="600" w:lineRule="exact"/>
        <w:ind w:firstLine="720"/>
        <w:textAlignment w:val="auto"/>
        <w:rPr>
          <w:rFonts w:hint="default" w:ascii="Times New Roman" w:hAnsi="Times New Roman" w:eastAsia="楷体_GB2312" w:cs="Times New Roman"/>
          <w:b/>
          <w:sz w:val="32"/>
          <w:szCs w:val="32"/>
          <w:lang w:val="zh-CN"/>
        </w:rPr>
      </w:pPr>
      <w:r>
        <w:rPr>
          <w:rFonts w:hint="default" w:ascii="Times New Roman" w:hAnsi="Times New Roman" w:eastAsia="楷体_GB2312" w:cs="Times New Roman"/>
          <w:b/>
          <w:sz w:val="32"/>
          <w:szCs w:val="32"/>
          <w:lang w:val="zh-CN"/>
        </w:rPr>
        <w:t>（二）项目效益情况</w:t>
      </w:r>
    </w:p>
    <w:p w14:paraId="582C4266">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攀枝花</w:t>
      </w:r>
      <w:r>
        <w:rPr>
          <w:rFonts w:hint="default" w:ascii="Times New Roman" w:hAnsi="Times New Roman" w:eastAsia="仿宋_GB2312" w:cs="Times New Roman"/>
          <w:sz w:val="32"/>
          <w:szCs w:val="32"/>
          <w:lang w:val="en-US" w:eastAsia="zh-CN"/>
        </w:rPr>
        <w:t>市社会保险事务中心</w:t>
      </w:r>
      <w:r>
        <w:rPr>
          <w:rFonts w:hint="default" w:ascii="Times New Roman" w:hAnsi="Times New Roman" w:eastAsia="仿宋_GB2312" w:cs="Times New Roman"/>
          <w:sz w:val="32"/>
          <w:szCs w:val="32"/>
          <w:lang w:val="zh-CN" w:eastAsia="zh-CN"/>
        </w:rPr>
        <w:t>按照</w:t>
      </w:r>
      <w:r>
        <w:rPr>
          <w:rFonts w:hint="default" w:ascii="Times New Roman" w:hAnsi="Times New Roman" w:eastAsia="仿宋_GB2312" w:cs="Times New Roman"/>
          <w:sz w:val="32"/>
          <w:szCs w:val="32"/>
          <w:lang w:val="en-US" w:eastAsia="zh-CN"/>
        </w:rPr>
        <w:t>人力资源社会保障</w:t>
      </w:r>
      <w:r>
        <w:rPr>
          <w:rFonts w:hint="default" w:ascii="Times New Roman" w:hAnsi="Times New Roman" w:eastAsia="仿宋_GB2312" w:cs="Times New Roman"/>
          <w:sz w:val="32"/>
          <w:szCs w:val="32"/>
          <w:lang w:val="zh-CN" w:eastAsia="zh-CN"/>
        </w:rPr>
        <w:t>厅、省</w:t>
      </w:r>
      <w:r>
        <w:rPr>
          <w:rFonts w:hint="default" w:ascii="Times New Roman" w:hAnsi="Times New Roman" w:eastAsia="仿宋_GB2312" w:cs="Times New Roman"/>
          <w:sz w:val="32"/>
          <w:szCs w:val="32"/>
          <w:lang w:val="en-US" w:eastAsia="zh-CN"/>
        </w:rPr>
        <w:t>社会保险管理</w:t>
      </w:r>
      <w:r>
        <w:rPr>
          <w:rFonts w:hint="default" w:ascii="Times New Roman" w:hAnsi="Times New Roman" w:eastAsia="仿宋_GB2312" w:cs="Times New Roman"/>
          <w:sz w:val="32"/>
          <w:szCs w:val="32"/>
          <w:lang w:val="zh-CN" w:eastAsia="zh-CN"/>
        </w:rPr>
        <w:t>局当年下达的绩效目标，严格执行，提高财政资金使用效益，确保202</w:t>
      </w:r>
      <w:r>
        <w:rPr>
          <w:rFonts w:hint="default" w:ascii="Times New Roman" w:hAnsi="Times New Roman" w:eastAsia="仿宋_GB2312" w:cs="Times New Roman"/>
          <w:sz w:val="32"/>
          <w:szCs w:val="32"/>
          <w:lang w:val="en-US" w:eastAsia="zh-CN"/>
        </w:rPr>
        <w:t>4</w:t>
      </w:r>
      <w:r>
        <w:rPr>
          <w:rFonts w:hint="default" w:ascii="Times New Roman" w:hAnsi="Times New Roman" w:eastAsia="仿宋_GB2312" w:cs="Times New Roman"/>
          <w:sz w:val="32"/>
          <w:szCs w:val="32"/>
          <w:lang w:val="zh-CN" w:eastAsia="zh-CN"/>
        </w:rPr>
        <w:t>年度绩效目标如期完成。</w:t>
      </w:r>
      <w:r>
        <w:rPr>
          <w:rFonts w:hint="default" w:ascii="Times New Roman" w:hAnsi="Times New Roman" w:eastAsia="仿宋_GB2312" w:cs="Times New Roman"/>
          <w:sz w:val="32"/>
          <w:szCs w:val="32"/>
          <w:lang w:val="en-US" w:eastAsia="zh-CN"/>
        </w:rPr>
        <w:t>确保了全市社保经办机构代管的省管森工企业离退休人员基本养老金按时足额发放，提升了省管森工企业离退休人员社会化管理服务水平，省管森工离退休人员满意度≥95%。</w:t>
      </w:r>
    </w:p>
    <w:p w14:paraId="6224B9AB">
      <w:pPr>
        <w:keepNext w:val="0"/>
        <w:keepLines w:val="0"/>
        <w:pageBreakBefore w:val="0"/>
        <w:kinsoku/>
        <w:wordWrap/>
        <w:overflowPunct/>
        <w:topLinePunct w:val="0"/>
        <w:autoSpaceDE/>
        <w:autoSpaceDN/>
        <w:bidi w:val="0"/>
        <w:adjustRightInd w:val="0"/>
        <w:snapToGrid w:val="0"/>
        <w:spacing w:line="600" w:lineRule="exact"/>
        <w:ind w:firstLine="72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五、评价结论及建议</w:t>
      </w:r>
    </w:p>
    <w:p w14:paraId="41A47911">
      <w:pPr>
        <w:keepNext w:val="0"/>
        <w:keepLines w:val="0"/>
        <w:pageBreakBefore w:val="0"/>
        <w:kinsoku/>
        <w:wordWrap/>
        <w:overflowPunct/>
        <w:topLinePunct w:val="0"/>
        <w:autoSpaceDE/>
        <w:autoSpaceDN/>
        <w:bidi w:val="0"/>
        <w:adjustRightInd w:val="0"/>
        <w:snapToGrid w:val="0"/>
        <w:spacing w:line="600" w:lineRule="exact"/>
        <w:ind w:firstLine="720"/>
        <w:textAlignment w:val="auto"/>
        <w:rPr>
          <w:rFonts w:hint="default" w:ascii="Times New Roman" w:hAnsi="Times New Roman" w:eastAsia="楷体_GB2312" w:cs="Times New Roman"/>
          <w:b/>
          <w:sz w:val="32"/>
          <w:szCs w:val="32"/>
          <w:lang w:val="zh-CN"/>
        </w:rPr>
      </w:pPr>
      <w:r>
        <w:rPr>
          <w:rFonts w:hint="default" w:ascii="Times New Roman" w:hAnsi="Times New Roman" w:eastAsia="楷体_GB2312" w:cs="Times New Roman"/>
          <w:b/>
          <w:sz w:val="32"/>
          <w:szCs w:val="32"/>
          <w:lang w:val="zh-CN"/>
        </w:rPr>
        <w:t>（一）评价结论</w:t>
      </w:r>
    </w:p>
    <w:p w14:paraId="60296800">
      <w:pPr>
        <w:keepNext w:val="0"/>
        <w:keepLines w:val="0"/>
        <w:pageBreakBefore w:val="0"/>
        <w:widowControl w:val="0"/>
        <w:kinsoku/>
        <w:wordWrap/>
        <w:overflowPunct/>
        <w:topLinePunct w:val="0"/>
        <w:autoSpaceDE/>
        <w:autoSpaceDN/>
        <w:bidi w:val="0"/>
        <w:adjustRightInd/>
        <w:snapToGrid/>
        <w:spacing w:line="600" w:lineRule="exact"/>
        <w:ind w:firstLine="640"/>
        <w:textAlignment w:val="auto"/>
        <w:outlineLvl w:val="9"/>
        <w:rPr>
          <w:rFonts w:hint="default" w:ascii="Times New Roman" w:hAnsi="Times New Roman" w:eastAsia="楷体_GB2312" w:cs="Times New Roman"/>
          <w:color w:val="auto"/>
          <w:sz w:val="32"/>
          <w:szCs w:val="32"/>
          <w:lang w:eastAsia="zh-CN"/>
        </w:rPr>
      </w:pPr>
      <w:r>
        <w:rPr>
          <w:rFonts w:hint="default" w:ascii="Times New Roman" w:hAnsi="Times New Roman" w:eastAsia="楷体_GB2312" w:cs="Times New Roman"/>
          <w:sz w:val="32"/>
          <w:szCs w:val="32"/>
          <w:lang w:val="en-US" w:eastAsia="zh-CN"/>
        </w:rPr>
        <w:t>1.</w:t>
      </w:r>
      <w:r>
        <w:rPr>
          <w:rFonts w:hint="default" w:ascii="Times New Roman" w:hAnsi="Times New Roman" w:eastAsia="楷体_GB2312" w:cs="Times New Roman"/>
          <w:sz w:val="32"/>
          <w:szCs w:val="32"/>
          <w:lang w:val="zh-CN" w:eastAsia="zh-CN"/>
        </w:rPr>
        <w:t>项目决策</w:t>
      </w:r>
      <w:r>
        <w:rPr>
          <w:rFonts w:hint="default" w:ascii="Times New Roman" w:hAnsi="Times New Roman" w:eastAsia="楷体_GB2312" w:cs="Times New Roman"/>
          <w:color w:val="auto"/>
          <w:sz w:val="32"/>
          <w:szCs w:val="32"/>
          <w:lang w:eastAsia="zh-CN"/>
        </w:rPr>
        <w:t>。</w:t>
      </w:r>
    </w:p>
    <w:p w14:paraId="326233CE">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项目设立、调整延续等方面符合资金管理基本规范和决策程序要求，项目规划论证符合中省要求，项目绩效目标设置是否科学合理，属于政府支持范围，且符合财政事权支出责任划分规定，资金投向与项目总体规划、相关行业事业发展相匹配，项目制度办法体系健全、要素完备。</w:t>
      </w:r>
    </w:p>
    <w:p w14:paraId="56C73F73">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outlineLvl w:val="9"/>
        <w:rPr>
          <w:rFonts w:hint="default" w:ascii="Times New Roman" w:hAnsi="Times New Roman" w:eastAsia="楷体_GB2312" w:cs="Times New Roman"/>
          <w:color w:val="auto"/>
          <w:sz w:val="32"/>
          <w:szCs w:val="32"/>
          <w:lang w:eastAsia="zh-CN"/>
        </w:rPr>
      </w:pPr>
      <w:r>
        <w:rPr>
          <w:rFonts w:hint="default" w:ascii="Times New Roman" w:hAnsi="Times New Roman" w:eastAsia="楷体_GB2312" w:cs="Times New Roman"/>
          <w:color w:val="auto"/>
          <w:sz w:val="32"/>
          <w:szCs w:val="32"/>
          <w:lang w:val="en-US" w:eastAsia="zh-CN"/>
        </w:rPr>
        <w:t>2.</w:t>
      </w:r>
      <w:r>
        <w:rPr>
          <w:rFonts w:hint="default" w:ascii="Times New Roman" w:hAnsi="Times New Roman" w:eastAsia="楷体_GB2312" w:cs="Times New Roman"/>
          <w:color w:val="auto"/>
          <w:sz w:val="32"/>
          <w:szCs w:val="32"/>
          <w:lang w:eastAsia="zh-CN"/>
        </w:rPr>
        <w:t>项目管理。</w:t>
      </w:r>
    </w:p>
    <w:p w14:paraId="3E22D156">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按实际区域分配结果选择客观因素测算验证资金分配科学合理、均衡公平。资金实际支持对象符合管理要求，符合支持对象范围。</w:t>
      </w:r>
    </w:p>
    <w:p w14:paraId="41CD9E4C">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640" w:leftChars="0"/>
        <w:textAlignment w:val="auto"/>
        <w:outlineLvl w:val="9"/>
        <w:rPr>
          <w:rFonts w:hint="default" w:ascii="Times New Roman" w:hAnsi="Times New Roman" w:eastAsia="楷体_GB2312" w:cs="Times New Roman"/>
          <w:color w:val="auto"/>
          <w:sz w:val="32"/>
          <w:szCs w:val="32"/>
          <w:lang w:val="en-US" w:eastAsia="zh-CN"/>
        </w:rPr>
      </w:pPr>
      <w:r>
        <w:rPr>
          <w:rFonts w:hint="default" w:ascii="Times New Roman" w:hAnsi="Times New Roman" w:eastAsia="楷体_GB2312" w:cs="Times New Roman"/>
          <w:color w:val="auto"/>
          <w:sz w:val="32"/>
          <w:szCs w:val="32"/>
          <w:lang w:val="en-US" w:eastAsia="zh-CN"/>
        </w:rPr>
        <w:t>3.项目实施。</w:t>
      </w:r>
    </w:p>
    <w:p w14:paraId="21779B27">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sz w:val="32"/>
          <w:szCs w:val="32"/>
          <w:lang w:val="zh-CN" w:eastAsia="zh-CN"/>
        </w:rPr>
      </w:pPr>
      <w:r>
        <w:rPr>
          <w:rFonts w:hint="default" w:ascii="Times New Roman" w:hAnsi="Times New Roman" w:eastAsia="仿宋_GB2312" w:cs="Times New Roman"/>
          <w:sz w:val="32"/>
          <w:szCs w:val="32"/>
          <w:lang w:val="en-US" w:eastAsia="zh-CN"/>
        </w:rPr>
        <w:t>此项目资金7.69万元，2024年中由市级财政下达预算指标，</w:t>
      </w:r>
      <w:r>
        <w:rPr>
          <w:rFonts w:hint="default" w:ascii="Times New Roman" w:hAnsi="Times New Roman" w:eastAsia="仿宋_GB2312" w:cs="Times New Roman"/>
          <w:sz w:val="32"/>
          <w:szCs w:val="32"/>
          <w:lang w:val="zh-CN" w:eastAsia="zh-CN"/>
        </w:rPr>
        <w:t>到位率100%。</w:t>
      </w:r>
      <w:r>
        <w:rPr>
          <w:rFonts w:hint="default" w:ascii="Times New Roman" w:hAnsi="Times New Roman" w:eastAsia="仿宋_GB2312" w:cs="Times New Roman"/>
          <w:sz w:val="32"/>
          <w:szCs w:val="32"/>
          <w:lang w:val="en-US" w:eastAsia="zh-CN"/>
        </w:rPr>
        <w:t>主要</w:t>
      </w:r>
      <w:r>
        <w:rPr>
          <w:rFonts w:hint="default" w:ascii="Times New Roman" w:hAnsi="Times New Roman" w:eastAsia="仿宋_GB2312" w:cs="Times New Roman"/>
          <w:sz w:val="32"/>
          <w:szCs w:val="32"/>
          <w:lang w:val="zh-CN" w:eastAsia="zh-CN"/>
        </w:rPr>
        <w:t>用于确</w:t>
      </w:r>
      <w:r>
        <w:rPr>
          <w:rFonts w:hint="default" w:ascii="Times New Roman" w:hAnsi="Times New Roman" w:eastAsia="仿宋_GB2312" w:cs="Times New Roman"/>
          <w:sz w:val="32"/>
          <w:szCs w:val="32"/>
          <w:lang w:val="en-US" w:eastAsia="zh-CN"/>
        </w:rPr>
        <w:t>保全市社保经办机构代管的省管森工企业离退休人员基本养老金按时足额发放，提升省管森工企业离退休人员社会化管理服务水平。</w:t>
      </w:r>
      <w:r>
        <w:rPr>
          <w:rFonts w:hint="default" w:ascii="Times New Roman" w:hAnsi="Times New Roman" w:eastAsia="仿宋_GB2312" w:cs="Times New Roman"/>
          <w:sz w:val="32"/>
          <w:szCs w:val="32"/>
          <w:lang w:val="zh-CN" w:eastAsia="zh-CN"/>
        </w:rPr>
        <w:t>资金</w:t>
      </w:r>
      <w:r>
        <w:rPr>
          <w:rFonts w:hint="default" w:ascii="Times New Roman" w:hAnsi="Times New Roman" w:eastAsia="仿宋_GB2312" w:cs="Times New Roman"/>
          <w:sz w:val="32"/>
          <w:szCs w:val="32"/>
          <w:lang w:val="en-US" w:eastAsia="zh-CN"/>
        </w:rPr>
        <w:t>到位后，市社会保险事务中心严格按财经纪律、财务管理等相关规定，严格审核各项支出，及时支付，资金支付完成100%。</w:t>
      </w:r>
    </w:p>
    <w:p w14:paraId="5035126F">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outlineLvl w:val="9"/>
        <w:rPr>
          <w:rFonts w:hint="default" w:ascii="Times New Roman" w:hAnsi="Times New Roman" w:eastAsia="楷体_GB2312" w:cs="Times New Roman"/>
          <w:color w:val="auto"/>
          <w:sz w:val="32"/>
          <w:szCs w:val="32"/>
          <w:lang w:val="en-US" w:eastAsia="zh-CN"/>
        </w:rPr>
      </w:pPr>
      <w:r>
        <w:rPr>
          <w:rFonts w:hint="default" w:ascii="Times New Roman" w:hAnsi="Times New Roman" w:eastAsia="楷体_GB2312" w:cs="Times New Roman"/>
          <w:color w:val="auto"/>
          <w:sz w:val="32"/>
          <w:szCs w:val="32"/>
          <w:lang w:val="en-US" w:eastAsia="zh-CN"/>
        </w:rPr>
        <w:t>4.项目结果。</w:t>
      </w:r>
    </w:p>
    <w:p w14:paraId="64830C42">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2024年为省管森工企业离退休人员完善了社会化服务管理信息，离退休人员社会化管理率达到100%。</w:t>
      </w:r>
    </w:p>
    <w:p w14:paraId="49B75709">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“省管森工企业离退休人员社会化管理经费”项目在当期完成了项目的总体实施，执行率100%。确保代管的省管森工企业离退休人员基本养老金按时足额发放，提升省管森工企业离退休人员社会化管理服务水平。</w:t>
      </w:r>
    </w:p>
    <w:p w14:paraId="752D5479">
      <w:pPr>
        <w:keepNext w:val="0"/>
        <w:keepLines w:val="0"/>
        <w:pageBreakBefore w:val="0"/>
        <w:kinsoku/>
        <w:wordWrap/>
        <w:overflowPunct/>
        <w:topLinePunct w:val="0"/>
        <w:autoSpaceDE/>
        <w:autoSpaceDN/>
        <w:bidi w:val="0"/>
        <w:adjustRightInd w:val="0"/>
        <w:snapToGrid w:val="0"/>
        <w:spacing w:line="600" w:lineRule="exact"/>
        <w:ind w:firstLine="720"/>
        <w:textAlignment w:val="auto"/>
        <w:rPr>
          <w:rFonts w:hint="default" w:ascii="Times New Roman" w:hAnsi="Times New Roman" w:eastAsia="楷体_GB2312" w:cs="Times New Roman"/>
          <w:b/>
          <w:sz w:val="32"/>
          <w:szCs w:val="32"/>
          <w:lang w:val="zh-CN"/>
        </w:rPr>
      </w:pPr>
      <w:r>
        <w:rPr>
          <w:rFonts w:hint="default" w:ascii="Times New Roman" w:hAnsi="Times New Roman" w:eastAsia="楷体_GB2312" w:cs="Times New Roman"/>
          <w:b/>
          <w:sz w:val="32"/>
          <w:szCs w:val="32"/>
          <w:lang w:val="zh-CN"/>
        </w:rPr>
        <w:t>（二）存在的问题</w:t>
      </w:r>
    </w:p>
    <w:p w14:paraId="061515EB">
      <w:pPr>
        <w:keepNext w:val="0"/>
        <w:keepLines w:val="0"/>
        <w:pageBreakBefore w:val="0"/>
        <w:kinsoku/>
        <w:wordWrap/>
        <w:overflowPunct/>
        <w:topLinePunct w:val="0"/>
        <w:autoSpaceDE/>
        <w:autoSpaceDN/>
        <w:bidi w:val="0"/>
        <w:spacing w:line="600" w:lineRule="exact"/>
        <w:ind w:firstLine="960" w:firstLineChars="300"/>
        <w:textAlignment w:val="auto"/>
        <w:rPr>
          <w:rFonts w:hint="default" w:ascii="Times New Roman" w:hAnsi="Times New Roman" w:eastAsia="仿宋_GB2312" w:cs="Times New Roman"/>
          <w:sz w:val="32"/>
          <w:szCs w:val="32"/>
          <w:lang w:val="zh-CN" w:eastAsia="zh-CN"/>
        </w:rPr>
      </w:pPr>
      <w:r>
        <w:rPr>
          <w:rFonts w:hint="default" w:ascii="Times New Roman" w:hAnsi="Times New Roman" w:eastAsia="仿宋_GB2312" w:cs="Times New Roman"/>
          <w:sz w:val="32"/>
          <w:szCs w:val="32"/>
          <w:lang w:val="zh-CN" w:eastAsia="zh-CN"/>
        </w:rPr>
        <w:t>无。</w:t>
      </w:r>
    </w:p>
    <w:p w14:paraId="354981E7">
      <w:pPr>
        <w:keepNext w:val="0"/>
        <w:keepLines w:val="0"/>
        <w:pageBreakBefore w:val="0"/>
        <w:kinsoku/>
        <w:wordWrap/>
        <w:overflowPunct/>
        <w:topLinePunct w:val="0"/>
        <w:autoSpaceDE/>
        <w:autoSpaceDN/>
        <w:bidi w:val="0"/>
        <w:adjustRightInd w:val="0"/>
        <w:snapToGrid w:val="0"/>
        <w:spacing w:line="600" w:lineRule="exact"/>
        <w:ind w:firstLine="720"/>
        <w:textAlignment w:val="auto"/>
        <w:rPr>
          <w:rFonts w:hint="default" w:ascii="Times New Roman" w:hAnsi="Times New Roman" w:eastAsia="楷体_GB2312" w:cs="Times New Roman"/>
          <w:b/>
          <w:sz w:val="32"/>
          <w:szCs w:val="32"/>
          <w:lang w:val="zh-CN"/>
        </w:rPr>
      </w:pPr>
      <w:r>
        <w:rPr>
          <w:rFonts w:hint="default" w:ascii="Times New Roman" w:hAnsi="Times New Roman" w:eastAsia="楷体_GB2312" w:cs="Times New Roman"/>
          <w:b/>
          <w:sz w:val="32"/>
          <w:szCs w:val="32"/>
          <w:lang w:val="zh-CN"/>
        </w:rPr>
        <w:t>（三）相关建议</w:t>
      </w:r>
    </w:p>
    <w:p w14:paraId="5F411F4D">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sz w:val="32"/>
          <w:szCs w:val="32"/>
          <w:lang w:val="zh-CN" w:eastAsia="zh-CN"/>
        </w:rPr>
      </w:pPr>
      <w:r>
        <w:rPr>
          <w:rFonts w:hint="default" w:ascii="Times New Roman" w:hAnsi="Times New Roman" w:eastAsia="仿宋_GB2312" w:cs="Times New Roman"/>
          <w:sz w:val="32"/>
          <w:szCs w:val="32"/>
          <w:lang w:val="zh-CN" w:eastAsia="zh-CN"/>
        </w:rPr>
        <w:t>强化预算资金精细化管理，提高预算资金科学性、合理性。严格根据相关标准和依据，进行资金使用，确保资金使用效益。</w:t>
      </w:r>
    </w:p>
    <w:p w14:paraId="0EB0F371">
      <w:pPr>
        <w:keepNext w:val="0"/>
        <w:keepLines w:val="0"/>
        <w:pageBreakBefore w:val="0"/>
        <w:widowControl w:val="0"/>
        <w:kinsoku/>
        <w:wordWrap/>
        <w:overflowPunct/>
        <w:topLinePunct w:val="0"/>
        <w:autoSpaceDE/>
        <w:autoSpaceDN/>
        <w:bidi w:val="0"/>
        <w:spacing w:line="600" w:lineRule="exact"/>
        <w:ind w:firstLine="640"/>
        <w:textAlignment w:val="auto"/>
        <w:outlineLvl w:val="9"/>
        <w:rPr>
          <w:rFonts w:hint="default" w:ascii="Times New Roman" w:hAnsi="Times New Roman" w:eastAsia="仿宋_GB2312" w:cs="Times New Roman"/>
          <w:b w:val="0"/>
          <w:bCs w:val="0"/>
          <w:kern w:val="0"/>
          <w:position w:val="0"/>
          <w:sz w:val="32"/>
          <w:szCs w:val="32"/>
          <w:highlight w:val="none"/>
          <w:lang w:val="en-US" w:eastAsia="zh-CN" w:bidi="ar-SA"/>
        </w:rPr>
      </w:pPr>
      <w:r>
        <w:rPr>
          <w:rFonts w:hint="default" w:ascii="Times New Roman" w:hAnsi="Times New Roman" w:eastAsia="仿宋_GB2312" w:cs="Times New Roman"/>
          <w:b w:val="0"/>
          <w:bCs w:val="0"/>
          <w:kern w:val="0"/>
          <w:position w:val="0"/>
          <w:sz w:val="32"/>
          <w:szCs w:val="32"/>
          <w:highlight w:val="none"/>
          <w:lang w:val="en-US" w:eastAsia="zh-CN" w:bidi="ar-SA"/>
        </w:rPr>
        <w:br w:type="page"/>
      </w:r>
    </w:p>
    <w:p w14:paraId="32CD32EF">
      <w:pPr>
        <w:widowControl/>
        <w:jc w:val="center"/>
        <w:rPr>
          <w:rFonts w:hint="default" w:ascii="Times New Roman" w:hAnsi="Times New Roman" w:eastAsia="仿宋" w:cs="Times New Roman"/>
          <w:b w:val="0"/>
          <w:color w:val="auto"/>
          <w:highlight w:val="none"/>
        </w:rPr>
      </w:pPr>
      <w:r>
        <w:rPr>
          <w:rFonts w:hint="default" w:ascii="Times New Roman" w:hAnsi="Times New Roman" w:eastAsia="黑体" w:cs="Times New Roman"/>
          <w:color w:val="auto"/>
          <w:sz w:val="44"/>
          <w:szCs w:val="44"/>
          <w:highlight w:val="none"/>
        </w:rPr>
        <w:t>第</w:t>
      </w:r>
      <w:r>
        <w:rPr>
          <w:rStyle w:val="31"/>
          <w:rFonts w:hint="default" w:ascii="Times New Roman" w:hAnsi="Times New Roman" w:eastAsia="黑体" w:cs="Times New Roman"/>
          <w:b w:val="0"/>
          <w:color w:val="auto"/>
          <w:highlight w:val="none"/>
        </w:rPr>
        <w:t>五部分 附表</w:t>
      </w:r>
      <w:bookmarkEnd w:id="52"/>
      <w:bookmarkEnd w:id="54"/>
      <w:bookmarkStart w:id="55" w:name="_Toc15396619"/>
    </w:p>
    <w:p w14:paraId="1F185890">
      <w:pPr>
        <w:pStyle w:val="15"/>
        <w:keepNext w:val="0"/>
        <w:keepLines w:val="0"/>
        <w:pageBreakBefore w:val="0"/>
        <w:kinsoku/>
        <w:wordWrap/>
        <w:overflowPunct/>
        <w:topLinePunct w:val="0"/>
        <w:autoSpaceDE/>
        <w:autoSpaceDN/>
        <w:bidi w:val="0"/>
        <w:adjustRightInd w:val="0"/>
        <w:snapToGrid w:val="0"/>
        <w:spacing w:line="560" w:lineRule="exact"/>
        <w:jc w:val="left"/>
        <w:textAlignment w:val="auto"/>
        <w:rPr>
          <w:rFonts w:hint="default" w:ascii="Times New Roman" w:hAnsi="Times New Roman" w:eastAsia="仿宋_GB2312" w:cs="Times New Roman"/>
          <w:color w:val="auto"/>
          <w:sz w:val="32"/>
          <w:szCs w:val="32"/>
          <w:highlight w:val="none"/>
        </w:rPr>
      </w:pPr>
    </w:p>
    <w:p w14:paraId="70EEAAB7">
      <w:pPr>
        <w:pStyle w:val="15"/>
        <w:keepNext w:val="0"/>
        <w:keepLines w:val="0"/>
        <w:pageBreakBefore w:val="0"/>
        <w:kinsoku/>
        <w:wordWrap/>
        <w:overflowPunct/>
        <w:topLinePunct w:val="0"/>
        <w:autoSpaceDE/>
        <w:autoSpaceDN/>
        <w:bidi w:val="0"/>
        <w:adjustRightInd w:val="0"/>
        <w:snapToGrid w:val="0"/>
        <w:spacing w:line="560" w:lineRule="exact"/>
        <w:jc w:val="left"/>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一、收入支出决算总表</w:t>
      </w:r>
      <w:bookmarkEnd w:id="55"/>
    </w:p>
    <w:p w14:paraId="295E7C40">
      <w:pPr>
        <w:pStyle w:val="15"/>
        <w:keepNext w:val="0"/>
        <w:keepLines w:val="0"/>
        <w:pageBreakBefore w:val="0"/>
        <w:kinsoku/>
        <w:wordWrap/>
        <w:overflowPunct/>
        <w:topLinePunct w:val="0"/>
        <w:autoSpaceDE/>
        <w:autoSpaceDN/>
        <w:bidi w:val="0"/>
        <w:adjustRightInd w:val="0"/>
        <w:snapToGrid w:val="0"/>
        <w:spacing w:line="560" w:lineRule="exact"/>
        <w:jc w:val="left"/>
        <w:textAlignment w:val="auto"/>
        <w:rPr>
          <w:rFonts w:hint="default" w:ascii="Times New Roman" w:hAnsi="Times New Roman" w:eastAsia="仿宋_GB2312" w:cs="Times New Roman"/>
          <w:color w:val="auto"/>
          <w:sz w:val="32"/>
          <w:szCs w:val="32"/>
          <w:highlight w:val="none"/>
        </w:rPr>
      </w:pPr>
      <w:bookmarkStart w:id="56" w:name="_Toc15396620"/>
      <w:r>
        <w:rPr>
          <w:rFonts w:hint="default" w:ascii="Times New Roman" w:hAnsi="Times New Roman" w:eastAsia="仿宋_GB2312" w:cs="Times New Roman"/>
          <w:color w:val="auto"/>
          <w:sz w:val="32"/>
          <w:szCs w:val="32"/>
          <w:highlight w:val="none"/>
        </w:rPr>
        <w:t>二、收入决算表</w:t>
      </w:r>
      <w:bookmarkEnd w:id="56"/>
    </w:p>
    <w:p w14:paraId="1A369175">
      <w:pPr>
        <w:pStyle w:val="15"/>
        <w:keepNext w:val="0"/>
        <w:keepLines w:val="0"/>
        <w:pageBreakBefore w:val="0"/>
        <w:kinsoku/>
        <w:wordWrap/>
        <w:overflowPunct/>
        <w:topLinePunct w:val="0"/>
        <w:autoSpaceDE/>
        <w:autoSpaceDN/>
        <w:bidi w:val="0"/>
        <w:adjustRightInd w:val="0"/>
        <w:snapToGrid w:val="0"/>
        <w:spacing w:line="560" w:lineRule="exact"/>
        <w:jc w:val="left"/>
        <w:textAlignment w:val="auto"/>
        <w:rPr>
          <w:rFonts w:hint="default" w:ascii="Times New Roman" w:hAnsi="Times New Roman" w:eastAsia="仿宋_GB2312" w:cs="Times New Roman"/>
          <w:color w:val="auto"/>
          <w:sz w:val="32"/>
          <w:szCs w:val="32"/>
          <w:highlight w:val="none"/>
        </w:rPr>
      </w:pPr>
      <w:bookmarkStart w:id="57" w:name="_Toc15396621"/>
      <w:r>
        <w:rPr>
          <w:rFonts w:hint="default" w:ascii="Times New Roman" w:hAnsi="Times New Roman" w:eastAsia="仿宋_GB2312" w:cs="Times New Roman"/>
          <w:color w:val="auto"/>
          <w:sz w:val="32"/>
          <w:szCs w:val="32"/>
          <w:highlight w:val="none"/>
        </w:rPr>
        <w:t>三、支出决算表</w:t>
      </w:r>
      <w:bookmarkEnd w:id="57"/>
    </w:p>
    <w:p w14:paraId="274594A5">
      <w:pPr>
        <w:pStyle w:val="15"/>
        <w:keepNext w:val="0"/>
        <w:keepLines w:val="0"/>
        <w:pageBreakBefore w:val="0"/>
        <w:kinsoku/>
        <w:wordWrap/>
        <w:overflowPunct/>
        <w:topLinePunct w:val="0"/>
        <w:autoSpaceDE/>
        <w:autoSpaceDN/>
        <w:bidi w:val="0"/>
        <w:adjustRightInd w:val="0"/>
        <w:snapToGrid w:val="0"/>
        <w:spacing w:line="560" w:lineRule="exact"/>
        <w:jc w:val="left"/>
        <w:textAlignment w:val="auto"/>
        <w:rPr>
          <w:rFonts w:hint="default" w:ascii="Times New Roman" w:hAnsi="Times New Roman" w:eastAsia="仿宋_GB2312" w:cs="Times New Roman"/>
          <w:color w:val="auto"/>
          <w:sz w:val="32"/>
          <w:szCs w:val="32"/>
          <w:highlight w:val="none"/>
        </w:rPr>
      </w:pPr>
      <w:bookmarkStart w:id="58" w:name="_Toc15396622"/>
      <w:r>
        <w:rPr>
          <w:rFonts w:hint="default" w:ascii="Times New Roman" w:hAnsi="Times New Roman" w:eastAsia="仿宋_GB2312" w:cs="Times New Roman"/>
          <w:color w:val="auto"/>
          <w:sz w:val="32"/>
          <w:szCs w:val="32"/>
          <w:highlight w:val="none"/>
        </w:rPr>
        <w:t>四、财政拨款收入支出决算总表</w:t>
      </w:r>
      <w:bookmarkEnd w:id="58"/>
    </w:p>
    <w:p w14:paraId="095FFEE5">
      <w:pPr>
        <w:pStyle w:val="15"/>
        <w:keepNext w:val="0"/>
        <w:keepLines w:val="0"/>
        <w:pageBreakBefore w:val="0"/>
        <w:kinsoku/>
        <w:wordWrap/>
        <w:overflowPunct/>
        <w:topLinePunct w:val="0"/>
        <w:autoSpaceDE/>
        <w:autoSpaceDN/>
        <w:bidi w:val="0"/>
        <w:adjustRightInd w:val="0"/>
        <w:snapToGrid w:val="0"/>
        <w:spacing w:line="560" w:lineRule="exact"/>
        <w:jc w:val="left"/>
        <w:textAlignment w:val="auto"/>
        <w:rPr>
          <w:rFonts w:hint="default" w:ascii="Times New Roman" w:hAnsi="Times New Roman" w:eastAsia="仿宋_GB2312" w:cs="Times New Roman"/>
          <w:color w:val="auto"/>
          <w:sz w:val="32"/>
          <w:szCs w:val="32"/>
          <w:highlight w:val="none"/>
        </w:rPr>
      </w:pPr>
      <w:bookmarkStart w:id="59" w:name="_Toc15396623"/>
      <w:r>
        <w:rPr>
          <w:rFonts w:hint="default" w:ascii="Times New Roman" w:hAnsi="Times New Roman" w:eastAsia="仿宋_GB2312" w:cs="Times New Roman"/>
          <w:color w:val="auto"/>
          <w:sz w:val="32"/>
          <w:szCs w:val="32"/>
          <w:highlight w:val="none"/>
        </w:rPr>
        <w:t>五、财政拨款支出决算明细表</w:t>
      </w:r>
      <w:bookmarkEnd w:id="59"/>
      <w:bookmarkStart w:id="60" w:name="_Toc15396624"/>
    </w:p>
    <w:p w14:paraId="2BB8E4BC">
      <w:pPr>
        <w:pStyle w:val="15"/>
        <w:keepNext w:val="0"/>
        <w:keepLines w:val="0"/>
        <w:pageBreakBefore w:val="0"/>
        <w:kinsoku/>
        <w:wordWrap/>
        <w:overflowPunct/>
        <w:topLinePunct w:val="0"/>
        <w:autoSpaceDE/>
        <w:autoSpaceDN/>
        <w:bidi w:val="0"/>
        <w:adjustRightInd w:val="0"/>
        <w:snapToGrid w:val="0"/>
        <w:spacing w:line="560" w:lineRule="exact"/>
        <w:jc w:val="left"/>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六、一般公共预算财政拨款支出决算表</w:t>
      </w:r>
      <w:bookmarkEnd w:id="60"/>
    </w:p>
    <w:p w14:paraId="120D094B">
      <w:pPr>
        <w:pStyle w:val="15"/>
        <w:keepNext w:val="0"/>
        <w:keepLines w:val="0"/>
        <w:pageBreakBefore w:val="0"/>
        <w:kinsoku/>
        <w:wordWrap/>
        <w:overflowPunct/>
        <w:topLinePunct w:val="0"/>
        <w:autoSpaceDE/>
        <w:autoSpaceDN/>
        <w:bidi w:val="0"/>
        <w:adjustRightInd w:val="0"/>
        <w:snapToGrid w:val="0"/>
        <w:spacing w:line="560" w:lineRule="exact"/>
        <w:jc w:val="left"/>
        <w:textAlignment w:val="auto"/>
        <w:rPr>
          <w:rFonts w:hint="default" w:ascii="Times New Roman" w:hAnsi="Times New Roman" w:eastAsia="仿宋_GB2312" w:cs="Times New Roman"/>
          <w:color w:val="auto"/>
          <w:sz w:val="32"/>
          <w:szCs w:val="32"/>
          <w:highlight w:val="none"/>
        </w:rPr>
      </w:pPr>
      <w:bookmarkStart w:id="61" w:name="_Toc15396625"/>
      <w:r>
        <w:rPr>
          <w:rFonts w:hint="default" w:ascii="Times New Roman" w:hAnsi="Times New Roman" w:eastAsia="仿宋_GB2312" w:cs="Times New Roman"/>
          <w:color w:val="auto"/>
          <w:sz w:val="32"/>
          <w:szCs w:val="32"/>
          <w:highlight w:val="none"/>
        </w:rPr>
        <w:t>七、一般公共预算财政拨款支出决算明细表</w:t>
      </w:r>
      <w:bookmarkEnd w:id="61"/>
    </w:p>
    <w:p w14:paraId="4DF06406">
      <w:pPr>
        <w:pStyle w:val="15"/>
        <w:keepNext w:val="0"/>
        <w:keepLines w:val="0"/>
        <w:pageBreakBefore w:val="0"/>
        <w:kinsoku/>
        <w:wordWrap/>
        <w:overflowPunct/>
        <w:topLinePunct w:val="0"/>
        <w:autoSpaceDE/>
        <w:autoSpaceDN/>
        <w:bidi w:val="0"/>
        <w:adjustRightInd w:val="0"/>
        <w:snapToGrid w:val="0"/>
        <w:spacing w:line="560" w:lineRule="exact"/>
        <w:jc w:val="left"/>
        <w:textAlignment w:val="auto"/>
        <w:rPr>
          <w:rFonts w:hint="default" w:ascii="Times New Roman" w:hAnsi="Times New Roman" w:eastAsia="仿宋_GB2312" w:cs="Times New Roman"/>
          <w:color w:val="auto"/>
          <w:sz w:val="32"/>
          <w:szCs w:val="32"/>
          <w:highlight w:val="none"/>
        </w:rPr>
      </w:pPr>
      <w:bookmarkStart w:id="62" w:name="_Toc15396626"/>
      <w:r>
        <w:rPr>
          <w:rFonts w:hint="default" w:ascii="Times New Roman" w:hAnsi="Times New Roman" w:eastAsia="仿宋_GB2312" w:cs="Times New Roman"/>
          <w:color w:val="auto"/>
          <w:sz w:val="32"/>
          <w:szCs w:val="32"/>
          <w:highlight w:val="none"/>
        </w:rPr>
        <w:t>八、一般公共预算财政拨款基本支出决算表</w:t>
      </w:r>
      <w:bookmarkEnd w:id="62"/>
    </w:p>
    <w:p w14:paraId="0880B84A">
      <w:pPr>
        <w:pStyle w:val="15"/>
        <w:keepNext w:val="0"/>
        <w:keepLines w:val="0"/>
        <w:pageBreakBefore w:val="0"/>
        <w:kinsoku/>
        <w:wordWrap/>
        <w:overflowPunct/>
        <w:topLinePunct w:val="0"/>
        <w:autoSpaceDE/>
        <w:autoSpaceDN/>
        <w:bidi w:val="0"/>
        <w:adjustRightInd w:val="0"/>
        <w:snapToGrid w:val="0"/>
        <w:spacing w:line="560" w:lineRule="exact"/>
        <w:jc w:val="left"/>
        <w:textAlignment w:val="auto"/>
        <w:rPr>
          <w:rFonts w:hint="default" w:ascii="Times New Roman" w:hAnsi="Times New Roman" w:eastAsia="仿宋_GB2312" w:cs="Times New Roman"/>
          <w:color w:val="auto"/>
          <w:sz w:val="32"/>
          <w:szCs w:val="32"/>
          <w:highlight w:val="none"/>
        </w:rPr>
      </w:pPr>
      <w:bookmarkStart w:id="63" w:name="_Toc15396627"/>
      <w:r>
        <w:rPr>
          <w:rFonts w:hint="default" w:ascii="Times New Roman" w:hAnsi="Times New Roman" w:eastAsia="仿宋_GB2312" w:cs="Times New Roman"/>
          <w:color w:val="auto"/>
          <w:sz w:val="32"/>
          <w:szCs w:val="32"/>
          <w:highlight w:val="none"/>
        </w:rPr>
        <w:t>九、一般公共预算财政拨款项目支出决算表</w:t>
      </w:r>
      <w:bookmarkEnd w:id="63"/>
    </w:p>
    <w:p w14:paraId="2D47B646">
      <w:pPr>
        <w:pStyle w:val="15"/>
        <w:keepNext w:val="0"/>
        <w:keepLines w:val="0"/>
        <w:pageBreakBefore w:val="0"/>
        <w:kinsoku/>
        <w:wordWrap/>
        <w:overflowPunct/>
        <w:topLinePunct w:val="0"/>
        <w:autoSpaceDE/>
        <w:autoSpaceDN/>
        <w:bidi w:val="0"/>
        <w:adjustRightInd w:val="0"/>
        <w:snapToGrid w:val="0"/>
        <w:spacing w:line="560" w:lineRule="exact"/>
        <w:jc w:val="left"/>
        <w:textAlignment w:val="auto"/>
        <w:rPr>
          <w:rFonts w:hint="default" w:ascii="Times New Roman" w:hAnsi="Times New Roman" w:eastAsia="仿宋_GB2312" w:cs="Times New Roman"/>
          <w:color w:val="auto"/>
          <w:sz w:val="32"/>
          <w:szCs w:val="32"/>
          <w:highlight w:val="none"/>
        </w:rPr>
      </w:pPr>
      <w:bookmarkStart w:id="64" w:name="_Toc15396628"/>
      <w:r>
        <w:rPr>
          <w:rFonts w:hint="default" w:ascii="Times New Roman" w:hAnsi="Times New Roman" w:eastAsia="仿宋_GB2312" w:cs="Times New Roman"/>
          <w:color w:val="auto"/>
          <w:sz w:val="32"/>
          <w:szCs w:val="32"/>
          <w:highlight w:val="none"/>
        </w:rPr>
        <w:t>十、</w:t>
      </w:r>
      <w:bookmarkEnd w:id="64"/>
      <w:r>
        <w:rPr>
          <w:rFonts w:hint="default" w:ascii="Times New Roman" w:hAnsi="Times New Roman" w:eastAsia="仿宋_GB2312" w:cs="Times New Roman"/>
          <w:color w:val="auto"/>
          <w:sz w:val="32"/>
          <w:szCs w:val="32"/>
          <w:highlight w:val="none"/>
        </w:rPr>
        <w:t>政府性基金预算财政拨款收入支出决算表</w:t>
      </w:r>
    </w:p>
    <w:p w14:paraId="29E79C83">
      <w:pPr>
        <w:pStyle w:val="15"/>
        <w:keepNext w:val="0"/>
        <w:keepLines w:val="0"/>
        <w:pageBreakBefore w:val="0"/>
        <w:kinsoku/>
        <w:wordWrap/>
        <w:overflowPunct/>
        <w:topLinePunct w:val="0"/>
        <w:autoSpaceDE/>
        <w:autoSpaceDN/>
        <w:bidi w:val="0"/>
        <w:adjustRightInd w:val="0"/>
        <w:snapToGrid w:val="0"/>
        <w:spacing w:line="560" w:lineRule="exact"/>
        <w:jc w:val="left"/>
        <w:textAlignment w:val="auto"/>
        <w:rPr>
          <w:rFonts w:hint="default" w:ascii="Times New Roman" w:hAnsi="Times New Roman" w:eastAsia="仿宋_GB2312" w:cs="Times New Roman"/>
          <w:color w:val="auto"/>
          <w:sz w:val="32"/>
          <w:szCs w:val="32"/>
          <w:highlight w:val="none"/>
        </w:rPr>
      </w:pPr>
      <w:bookmarkStart w:id="65" w:name="_Toc15396629"/>
      <w:r>
        <w:rPr>
          <w:rFonts w:hint="default" w:ascii="Times New Roman" w:hAnsi="Times New Roman" w:eastAsia="仿宋_GB2312" w:cs="Times New Roman"/>
          <w:color w:val="auto"/>
          <w:sz w:val="32"/>
          <w:szCs w:val="32"/>
          <w:highlight w:val="none"/>
        </w:rPr>
        <w:t>十一、</w:t>
      </w:r>
      <w:bookmarkEnd w:id="65"/>
      <w:r>
        <w:rPr>
          <w:rFonts w:hint="default" w:ascii="Times New Roman" w:hAnsi="Times New Roman" w:eastAsia="仿宋_GB2312" w:cs="Times New Roman"/>
          <w:color w:val="auto"/>
          <w:sz w:val="32"/>
          <w:szCs w:val="32"/>
          <w:highlight w:val="none"/>
        </w:rPr>
        <w:t>国有资本经营预算</w:t>
      </w:r>
      <w:r>
        <w:rPr>
          <w:rFonts w:hint="default" w:ascii="Times New Roman" w:hAnsi="Times New Roman" w:eastAsia="仿宋_GB2312" w:cs="Times New Roman"/>
          <w:color w:val="auto"/>
          <w:sz w:val="32"/>
          <w:szCs w:val="32"/>
          <w:highlight w:val="none"/>
          <w:lang w:eastAsia="zh-CN"/>
        </w:rPr>
        <w:t>财政拨款收入</w:t>
      </w:r>
      <w:r>
        <w:rPr>
          <w:rFonts w:hint="default" w:ascii="Times New Roman" w:hAnsi="Times New Roman" w:eastAsia="仿宋_GB2312" w:cs="Times New Roman"/>
          <w:color w:val="auto"/>
          <w:sz w:val="32"/>
          <w:szCs w:val="32"/>
          <w:highlight w:val="none"/>
        </w:rPr>
        <w:t>支出决算表</w:t>
      </w:r>
    </w:p>
    <w:p w14:paraId="6A3FB794">
      <w:pPr>
        <w:pStyle w:val="15"/>
        <w:keepNext w:val="0"/>
        <w:keepLines w:val="0"/>
        <w:pageBreakBefore w:val="0"/>
        <w:kinsoku/>
        <w:wordWrap/>
        <w:overflowPunct/>
        <w:topLinePunct w:val="0"/>
        <w:autoSpaceDE/>
        <w:autoSpaceDN/>
        <w:bidi w:val="0"/>
        <w:adjustRightInd w:val="0"/>
        <w:snapToGrid w:val="0"/>
        <w:spacing w:line="560" w:lineRule="exact"/>
        <w:jc w:val="left"/>
        <w:textAlignment w:val="auto"/>
        <w:rPr>
          <w:rFonts w:hint="default" w:ascii="Times New Roman" w:hAnsi="Times New Roman" w:eastAsia="仿宋_GB2312" w:cs="Times New Roman"/>
          <w:color w:val="auto"/>
          <w:sz w:val="32"/>
          <w:szCs w:val="32"/>
          <w:highlight w:val="none"/>
        </w:rPr>
      </w:pPr>
      <w:bookmarkStart w:id="66" w:name="_Toc15396630"/>
      <w:r>
        <w:rPr>
          <w:rFonts w:hint="default" w:ascii="Times New Roman" w:hAnsi="Times New Roman" w:eastAsia="仿宋_GB2312" w:cs="Times New Roman"/>
          <w:color w:val="auto"/>
          <w:sz w:val="32"/>
          <w:szCs w:val="32"/>
          <w:highlight w:val="none"/>
        </w:rPr>
        <w:t>十二、</w:t>
      </w:r>
      <w:bookmarkEnd w:id="66"/>
      <w:r>
        <w:rPr>
          <w:rFonts w:hint="default" w:ascii="Times New Roman" w:hAnsi="Times New Roman" w:eastAsia="仿宋_GB2312" w:cs="Times New Roman"/>
          <w:color w:val="auto"/>
          <w:sz w:val="32"/>
          <w:szCs w:val="32"/>
          <w:highlight w:val="none"/>
          <w:lang w:eastAsia="zh-CN"/>
        </w:rPr>
        <w:t>国有资本经营预算财政拨款支出决算表</w:t>
      </w:r>
    </w:p>
    <w:p w14:paraId="55FA7A86">
      <w:pPr>
        <w:pStyle w:val="15"/>
        <w:keepNext w:val="0"/>
        <w:keepLines w:val="0"/>
        <w:pageBreakBefore w:val="0"/>
        <w:kinsoku/>
        <w:wordWrap/>
        <w:overflowPunct/>
        <w:topLinePunct w:val="0"/>
        <w:autoSpaceDE/>
        <w:autoSpaceDN/>
        <w:bidi w:val="0"/>
        <w:adjustRightInd w:val="0"/>
        <w:snapToGrid w:val="0"/>
        <w:spacing w:line="560" w:lineRule="exact"/>
        <w:jc w:val="left"/>
        <w:textAlignment w:val="auto"/>
        <w:rPr>
          <w:rFonts w:hint="default" w:ascii="Times New Roman" w:hAnsi="Times New Roman" w:eastAsia="仿宋_GB2312" w:cs="Times New Roman"/>
          <w:color w:val="auto"/>
          <w:sz w:val="32"/>
          <w:szCs w:val="32"/>
          <w:highlight w:val="none"/>
          <w:lang w:eastAsia="zh-CN"/>
        </w:rPr>
      </w:pPr>
      <w:bookmarkStart w:id="67" w:name="_Toc15396631"/>
      <w:r>
        <w:rPr>
          <w:rFonts w:hint="default" w:ascii="Times New Roman" w:hAnsi="Times New Roman" w:eastAsia="仿宋_GB2312" w:cs="Times New Roman"/>
          <w:color w:val="auto"/>
          <w:sz w:val="32"/>
          <w:szCs w:val="32"/>
          <w:highlight w:val="none"/>
        </w:rPr>
        <w:t>十三、</w:t>
      </w:r>
      <w:bookmarkEnd w:id="67"/>
      <w:r>
        <w:rPr>
          <w:rFonts w:hint="default" w:ascii="Times New Roman" w:hAnsi="Times New Roman" w:eastAsia="仿宋_GB2312" w:cs="Times New Roman"/>
          <w:color w:val="auto"/>
          <w:sz w:val="32"/>
          <w:szCs w:val="32"/>
          <w:highlight w:val="none"/>
          <w:lang w:eastAsia="zh-CN"/>
        </w:rPr>
        <w:t>财政拨款“三公”经费支出决算表</w:t>
      </w:r>
    </w:p>
    <w:p w14:paraId="43D79B53">
      <w:pPr>
        <w:rPr>
          <w:rFonts w:hint="default" w:ascii="Times New Roman" w:hAnsi="Times New Roman" w:cs="Times New Roman"/>
          <w:lang w:eastAsia="zh-CN"/>
        </w:rPr>
      </w:pPr>
    </w:p>
    <w:sectPr>
      <w:footerReference r:id="rId5" w:type="first"/>
      <w:headerReference r:id="rId3" w:type="default"/>
      <w:footerReference r:id="rId4" w:type="default"/>
      <w:pgSz w:w="11906" w:h="16838"/>
      <w:pgMar w:top="1440" w:right="1800" w:bottom="1440" w:left="1800" w:header="851" w:footer="992" w:gutter="0"/>
      <w:pgNumType w:fmt="numberInDash"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
    <w:altName w:val="Segoe Print"/>
    <w:panose1 w:val="00000000000000000000"/>
    <w:charset w:val="00"/>
    <w:family w:val="roman"/>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方正小标宋简体">
    <w:altName w:val="宋体-方正超大字符集"/>
    <w:panose1 w:val="03000509000000000000"/>
    <w:charset w:val="86"/>
    <w:family w:val="script"/>
    <w:pitch w:val="default"/>
    <w:sig w:usb0="00000000" w:usb1="00000000" w:usb2="00000000" w:usb3="00000000" w:csb0="00040000" w:csb1="00000000"/>
  </w:font>
  <w:font w:name="宋体-方正超大字符集">
    <w:panose1 w:val="03000509000000000000"/>
    <w:charset w:val="86"/>
    <w:family w:val="auto"/>
    <w:pitch w:val="default"/>
    <w:sig w:usb0="00000001" w:usb1="080E0000" w:usb2="00000000" w:usb3="00000000" w:csb0="00040000" w:csb1="00000000"/>
  </w:font>
  <w:font w:name="方正小标宋_GBK">
    <w:panose1 w:val="02000000000000000000"/>
    <w:charset w:val="86"/>
    <w:family w:val="auto"/>
    <w:pitch w:val="default"/>
    <w:sig w:usb0="A00002BF" w:usb1="38CF7CFA" w:usb2="00082016" w:usb3="00000000" w:csb0="00040001" w:csb1="00000000"/>
  </w:font>
  <w:font w:name="微软雅黑">
    <w:panose1 w:val="020B0503020204020204"/>
    <w:charset w:val="86"/>
    <w:family w:val="auto"/>
    <w:pitch w:val="default"/>
    <w:sig w:usb0="80000287" w:usb1="280F3C52" w:usb2="00000016" w:usb3="00000000" w:csb0="0004001F" w:csb1="00000000"/>
  </w:font>
  <w:font w:name="楷体_GB2312">
    <w:altName w:val="微软雅黑"/>
    <w:panose1 w:val="02010609030101010101"/>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E8FB97">
    <w:pPr>
      <w:pStyle w:val="11"/>
      <w:jc w:val="center"/>
    </w:pPr>
  </w:p>
  <w:p w14:paraId="2067153C">
    <w:pPr>
      <w:pStyle w:val="11"/>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BED0F0C">
                          <w:pPr>
                            <w:pStyle w:val="11"/>
                          </w:pPr>
                          <w:r>
                            <w:fldChar w:fldCharType="begin"/>
                          </w:r>
                          <w:r>
                            <w:instrText xml:space="preserve"> PAGE  \* MERGEFORMAT </w:instrText>
                          </w:r>
                          <w:r>
                            <w:fldChar w:fldCharType="separate"/>
                          </w:r>
                          <w:r>
                            <w:t>- 2 -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4BED0F0C">
                    <w:pPr>
                      <w:pStyle w:val="11"/>
                    </w:pPr>
                    <w:r>
                      <w:fldChar w:fldCharType="begin"/>
                    </w:r>
                    <w:r>
                      <w:instrText xml:space="preserve"> PAGE  \* MERGEFORMAT </w:instrText>
                    </w:r>
                    <w:r>
                      <w:fldChar w:fldCharType="separate"/>
                    </w:r>
                    <w:r>
                      <w:t>- 2 -</w:t>
                    </w:r>
                    <w:r>
                      <w:fldChar w:fldCharType="end"/>
                    </w:r>
                  </w:p>
                </w:txbxContent>
              </v:textbox>
            </v:shape>
          </w:pict>
        </mc:Fallback>
      </mc:AlternateContent>
    </w:r>
  </w:p>
  <w:p w14:paraId="233060C9">
    <w:pPr>
      <w:pStyle w:val="11"/>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583CF4">
    <w:pPr>
      <w:pStyle w:val="11"/>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A9D655">
                          <w:pPr>
                            <w:pStyle w:val="11"/>
                          </w:pPr>
                          <w:r>
                            <w:fldChar w:fldCharType="begin"/>
                          </w:r>
                          <w:r>
                            <w:instrText xml:space="preserve"> PAGE  \* MERGEFORMAT </w:instrText>
                          </w:r>
                          <w:r>
                            <w:fldChar w:fldCharType="separate"/>
                          </w:r>
                          <w:r>
                            <w:t>- 1 -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14:paraId="58A9D655">
                    <w:pPr>
                      <w:pStyle w:val="11"/>
                    </w:pPr>
                    <w:r>
                      <w:fldChar w:fldCharType="begin"/>
                    </w:r>
                    <w:r>
                      <w:instrText xml:space="preserve"> PAGE  \* MERGEFORMAT </w:instrText>
                    </w:r>
                    <w:r>
                      <w:fldChar w:fldCharType="separate"/>
                    </w:r>
                    <w:r>
                      <w:t>- 1 -</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6A8C40">
    <w:pPr>
      <w:pStyle w:val="12"/>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DE93F3"/>
    <w:multiLevelType w:val="singleLevel"/>
    <w:tmpl w:val="81DE93F3"/>
    <w:lvl w:ilvl="0" w:tentative="0">
      <w:start w:val="2"/>
      <w:numFmt w:val="chineseCounting"/>
      <w:suff w:val="nothing"/>
      <w:lvlText w:val="（%1）"/>
      <w:lvlJc w:val="left"/>
      <w:rPr>
        <w:rFonts w:hint="eastAsia"/>
      </w:rPr>
    </w:lvl>
  </w:abstractNum>
  <w:abstractNum w:abstractNumId="1">
    <w:nsid w:val="F3831671"/>
    <w:multiLevelType w:val="singleLevel"/>
    <w:tmpl w:val="F3831671"/>
    <w:lvl w:ilvl="0" w:tentative="0">
      <w:start w:val="1"/>
      <w:numFmt w:val="chineseCounting"/>
      <w:suff w:val="nothing"/>
      <w:lvlText w:val="（%1）"/>
      <w:lvlJc w:val="left"/>
      <w:rPr>
        <w:rFonts w:hint="eastAsia"/>
      </w:rPr>
    </w:lvl>
  </w:abstractNum>
  <w:abstractNum w:abstractNumId="2">
    <w:nsid w:val="F9D33A30"/>
    <w:multiLevelType w:val="singleLevel"/>
    <w:tmpl w:val="F9D33A30"/>
    <w:lvl w:ilvl="0" w:tentative="0">
      <w:start w:val="2"/>
      <w:numFmt w:val="chineseCounting"/>
      <w:suff w:val="nothing"/>
      <w:lvlText w:val="（%1）"/>
      <w:lvlJc w:val="left"/>
      <w:rPr>
        <w:rFonts w:hint="eastAsia"/>
      </w:rPr>
    </w:lvl>
  </w:abstractNum>
  <w:abstractNum w:abstractNumId="3">
    <w:nsid w:val="5664BDFD"/>
    <w:multiLevelType w:val="singleLevel"/>
    <w:tmpl w:val="5664BDFD"/>
    <w:lvl w:ilvl="0" w:tentative="0">
      <w:start w:val="1"/>
      <w:numFmt w:val="decimal"/>
      <w:suff w:val="nothing"/>
      <w:lvlText w:val="（%1）"/>
      <w:lvlJc w:val="left"/>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1361C"/>
    <w:rsid w:val="000222C6"/>
    <w:rsid w:val="0002549F"/>
    <w:rsid w:val="000468DB"/>
    <w:rsid w:val="0006487A"/>
    <w:rsid w:val="00065F8F"/>
    <w:rsid w:val="00070A43"/>
    <w:rsid w:val="000768F2"/>
    <w:rsid w:val="0009184B"/>
    <w:rsid w:val="00094236"/>
    <w:rsid w:val="0009593C"/>
    <w:rsid w:val="00097322"/>
    <w:rsid w:val="000A6A92"/>
    <w:rsid w:val="000B047F"/>
    <w:rsid w:val="000B5923"/>
    <w:rsid w:val="000B5A48"/>
    <w:rsid w:val="000B6FF3"/>
    <w:rsid w:val="000C3467"/>
    <w:rsid w:val="000C3CA6"/>
    <w:rsid w:val="000D1267"/>
    <w:rsid w:val="000D1D50"/>
    <w:rsid w:val="000D5782"/>
    <w:rsid w:val="000E6613"/>
    <w:rsid w:val="000E7119"/>
    <w:rsid w:val="00114E9B"/>
    <w:rsid w:val="00142216"/>
    <w:rsid w:val="00144D6A"/>
    <w:rsid w:val="0014729F"/>
    <w:rsid w:val="00157BAB"/>
    <w:rsid w:val="001654D1"/>
    <w:rsid w:val="00174518"/>
    <w:rsid w:val="0018106D"/>
    <w:rsid w:val="001877A7"/>
    <w:rsid w:val="00191536"/>
    <w:rsid w:val="00196687"/>
    <w:rsid w:val="001C0962"/>
    <w:rsid w:val="001D7531"/>
    <w:rsid w:val="001E737D"/>
    <w:rsid w:val="001F0592"/>
    <w:rsid w:val="001F7506"/>
    <w:rsid w:val="002006CD"/>
    <w:rsid w:val="00202B36"/>
    <w:rsid w:val="00204B7A"/>
    <w:rsid w:val="00204CDE"/>
    <w:rsid w:val="0021101A"/>
    <w:rsid w:val="00220536"/>
    <w:rsid w:val="00235629"/>
    <w:rsid w:val="00260C38"/>
    <w:rsid w:val="002616C0"/>
    <w:rsid w:val="00265372"/>
    <w:rsid w:val="002662AA"/>
    <w:rsid w:val="00280496"/>
    <w:rsid w:val="00294DC9"/>
    <w:rsid w:val="00295495"/>
    <w:rsid w:val="002A31DE"/>
    <w:rsid w:val="002B2613"/>
    <w:rsid w:val="002D6D05"/>
    <w:rsid w:val="002F1818"/>
    <w:rsid w:val="002F567B"/>
    <w:rsid w:val="003216A9"/>
    <w:rsid w:val="00335A74"/>
    <w:rsid w:val="0036561B"/>
    <w:rsid w:val="0037013F"/>
    <w:rsid w:val="00380C92"/>
    <w:rsid w:val="003A484F"/>
    <w:rsid w:val="003A4883"/>
    <w:rsid w:val="003B0BE0"/>
    <w:rsid w:val="003B0C1B"/>
    <w:rsid w:val="003B688C"/>
    <w:rsid w:val="003C0291"/>
    <w:rsid w:val="003C39AE"/>
    <w:rsid w:val="003C7B60"/>
    <w:rsid w:val="003D0C0F"/>
    <w:rsid w:val="003D1FB2"/>
    <w:rsid w:val="003D66DA"/>
    <w:rsid w:val="003E1310"/>
    <w:rsid w:val="003E6F55"/>
    <w:rsid w:val="00406254"/>
    <w:rsid w:val="004223DE"/>
    <w:rsid w:val="00434489"/>
    <w:rsid w:val="00437085"/>
    <w:rsid w:val="00443880"/>
    <w:rsid w:val="004464F4"/>
    <w:rsid w:val="00471401"/>
    <w:rsid w:val="00473F31"/>
    <w:rsid w:val="0048263A"/>
    <w:rsid w:val="00487E5D"/>
    <w:rsid w:val="004A711F"/>
    <w:rsid w:val="004B199D"/>
    <w:rsid w:val="004B4690"/>
    <w:rsid w:val="004E0A2D"/>
    <w:rsid w:val="004E206B"/>
    <w:rsid w:val="004E6DF7"/>
    <w:rsid w:val="004F0FBD"/>
    <w:rsid w:val="00505A47"/>
    <w:rsid w:val="00512FDA"/>
    <w:rsid w:val="00520DA0"/>
    <w:rsid w:val="005664BB"/>
    <w:rsid w:val="00566FFA"/>
    <w:rsid w:val="0057481D"/>
    <w:rsid w:val="0058486E"/>
    <w:rsid w:val="00585B33"/>
    <w:rsid w:val="0059014D"/>
    <w:rsid w:val="005B5C64"/>
    <w:rsid w:val="005C5337"/>
    <w:rsid w:val="005C6BD0"/>
    <w:rsid w:val="005D1C8B"/>
    <w:rsid w:val="005D468D"/>
    <w:rsid w:val="005D5CED"/>
    <w:rsid w:val="005F1A4C"/>
    <w:rsid w:val="00605688"/>
    <w:rsid w:val="006070AF"/>
    <w:rsid w:val="00607E6C"/>
    <w:rsid w:val="006101B1"/>
    <w:rsid w:val="00614E44"/>
    <w:rsid w:val="0062270A"/>
    <w:rsid w:val="00622830"/>
    <w:rsid w:val="00623DA0"/>
    <w:rsid w:val="00630AEF"/>
    <w:rsid w:val="006325F8"/>
    <w:rsid w:val="00633463"/>
    <w:rsid w:val="00634C9A"/>
    <w:rsid w:val="006440E4"/>
    <w:rsid w:val="0066343B"/>
    <w:rsid w:val="00664777"/>
    <w:rsid w:val="006748A4"/>
    <w:rsid w:val="00681A31"/>
    <w:rsid w:val="00683E73"/>
    <w:rsid w:val="006A3141"/>
    <w:rsid w:val="006A5E34"/>
    <w:rsid w:val="006B2422"/>
    <w:rsid w:val="006B2B9A"/>
    <w:rsid w:val="006C1937"/>
    <w:rsid w:val="006F020C"/>
    <w:rsid w:val="007127B7"/>
    <w:rsid w:val="0071798E"/>
    <w:rsid w:val="007416B6"/>
    <w:rsid w:val="00746F48"/>
    <w:rsid w:val="0075404D"/>
    <w:rsid w:val="0076182A"/>
    <w:rsid w:val="00767B7E"/>
    <w:rsid w:val="007770C3"/>
    <w:rsid w:val="00784D24"/>
    <w:rsid w:val="00785FBA"/>
    <w:rsid w:val="00786E4A"/>
    <w:rsid w:val="007875EB"/>
    <w:rsid w:val="0079426B"/>
    <w:rsid w:val="007D1682"/>
    <w:rsid w:val="007D312A"/>
    <w:rsid w:val="007D3F19"/>
    <w:rsid w:val="007E23B0"/>
    <w:rsid w:val="007E23E5"/>
    <w:rsid w:val="007F1991"/>
    <w:rsid w:val="007F2C2F"/>
    <w:rsid w:val="007F55FC"/>
    <w:rsid w:val="007F5665"/>
    <w:rsid w:val="00800112"/>
    <w:rsid w:val="00813348"/>
    <w:rsid w:val="008253BB"/>
    <w:rsid w:val="0083706E"/>
    <w:rsid w:val="008408F6"/>
    <w:rsid w:val="008423A5"/>
    <w:rsid w:val="00850625"/>
    <w:rsid w:val="00853718"/>
    <w:rsid w:val="00855221"/>
    <w:rsid w:val="00860645"/>
    <w:rsid w:val="00871F71"/>
    <w:rsid w:val="00872FD8"/>
    <w:rsid w:val="00885AF4"/>
    <w:rsid w:val="008939CD"/>
    <w:rsid w:val="008B768C"/>
    <w:rsid w:val="008C4DB1"/>
    <w:rsid w:val="008C4EAF"/>
    <w:rsid w:val="008C5176"/>
    <w:rsid w:val="008C7FD0"/>
    <w:rsid w:val="008E1DE7"/>
    <w:rsid w:val="008E707C"/>
    <w:rsid w:val="00900B08"/>
    <w:rsid w:val="00902155"/>
    <w:rsid w:val="00902FA3"/>
    <w:rsid w:val="00923564"/>
    <w:rsid w:val="0092392E"/>
    <w:rsid w:val="009315F9"/>
    <w:rsid w:val="00933499"/>
    <w:rsid w:val="00935C98"/>
    <w:rsid w:val="00946945"/>
    <w:rsid w:val="00951248"/>
    <w:rsid w:val="0095152F"/>
    <w:rsid w:val="00954C49"/>
    <w:rsid w:val="00955E37"/>
    <w:rsid w:val="0097099F"/>
    <w:rsid w:val="00971997"/>
    <w:rsid w:val="00971FFC"/>
    <w:rsid w:val="0098660A"/>
    <w:rsid w:val="009931C3"/>
    <w:rsid w:val="009B2C43"/>
    <w:rsid w:val="009B4EAE"/>
    <w:rsid w:val="009B7573"/>
    <w:rsid w:val="009C22F4"/>
    <w:rsid w:val="009C2A4B"/>
    <w:rsid w:val="009C2E98"/>
    <w:rsid w:val="009D3447"/>
    <w:rsid w:val="009D4711"/>
    <w:rsid w:val="009F1185"/>
    <w:rsid w:val="009F18CD"/>
    <w:rsid w:val="009F2A13"/>
    <w:rsid w:val="009F7527"/>
    <w:rsid w:val="00A04EB0"/>
    <w:rsid w:val="00A13CC1"/>
    <w:rsid w:val="00A16847"/>
    <w:rsid w:val="00A237D8"/>
    <w:rsid w:val="00A268C4"/>
    <w:rsid w:val="00A307CD"/>
    <w:rsid w:val="00A331C8"/>
    <w:rsid w:val="00A40A00"/>
    <w:rsid w:val="00A4142F"/>
    <w:rsid w:val="00A422EB"/>
    <w:rsid w:val="00A45BB7"/>
    <w:rsid w:val="00A56DF2"/>
    <w:rsid w:val="00A56E6E"/>
    <w:rsid w:val="00A67AB5"/>
    <w:rsid w:val="00A733B2"/>
    <w:rsid w:val="00A741C2"/>
    <w:rsid w:val="00A91760"/>
    <w:rsid w:val="00A93B00"/>
    <w:rsid w:val="00A93C21"/>
    <w:rsid w:val="00AB64C9"/>
    <w:rsid w:val="00AC3C6A"/>
    <w:rsid w:val="00AD5620"/>
    <w:rsid w:val="00AD656B"/>
    <w:rsid w:val="00AD7C1B"/>
    <w:rsid w:val="00AE16BA"/>
    <w:rsid w:val="00AE1EBE"/>
    <w:rsid w:val="00B03C9D"/>
    <w:rsid w:val="00B060AE"/>
    <w:rsid w:val="00B10517"/>
    <w:rsid w:val="00B14E76"/>
    <w:rsid w:val="00B161B8"/>
    <w:rsid w:val="00B2048C"/>
    <w:rsid w:val="00B310B9"/>
    <w:rsid w:val="00B35F3F"/>
    <w:rsid w:val="00B36CBB"/>
    <w:rsid w:val="00B425E0"/>
    <w:rsid w:val="00B440AA"/>
    <w:rsid w:val="00B44B70"/>
    <w:rsid w:val="00B53C56"/>
    <w:rsid w:val="00B57DAF"/>
    <w:rsid w:val="00B77EA6"/>
    <w:rsid w:val="00B81598"/>
    <w:rsid w:val="00B841F1"/>
    <w:rsid w:val="00B944D6"/>
    <w:rsid w:val="00BB4DF0"/>
    <w:rsid w:val="00BC289F"/>
    <w:rsid w:val="00BC2D50"/>
    <w:rsid w:val="00BC5361"/>
    <w:rsid w:val="00BC5460"/>
    <w:rsid w:val="00BC6B50"/>
    <w:rsid w:val="00BD0E25"/>
    <w:rsid w:val="00BF5BD6"/>
    <w:rsid w:val="00C03E31"/>
    <w:rsid w:val="00C33E72"/>
    <w:rsid w:val="00C354B2"/>
    <w:rsid w:val="00C35554"/>
    <w:rsid w:val="00C42709"/>
    <w:rsid w:val="00C533CC"/>
    <w:rsid w:val="00C5751C"/>
    <w:rsid w:val="00C61BFC"/>
    <w:rsid w:val="00C62B85"/>
    <w:rsid w:val="00C65438"/>
    <w:rsid w:val="00C87FD8"/>
    <w:rsid w:val="00C91381"/>
    <w:rsid w:val="00C91CBB"/>
    <w:rsid w:val="00CB4E70"/>
    <w:rsid w:val="00CC09B6"/>
    <w:rsid w:val="00CC666F"/>
    <w:rsid w:val="00CD1E3F"/>
    <w:rsid w:val="00CE44F6"/>
    <w:rsid w:val="00CE49DA"/>
    <w:rsid w:val="00CE7B61"/>
    <w:rsid w:val="00D00095"/>
    <w:rsid w:val="00D114F0"/>
    <w:rsid w:val="00D20620"/>
    <w:rsid w:val="00D254F7"/>
    <w:rsid w:val="00D26091"/>
    <w:rsid w:val="00D2685C"/>
    <w:rsid w:val="00D34E7C"/>
    <w:rsid w:val="00D35489"/>
    <w:rsid w:val="00D36AFE"/>
    <w:rsid w:val="00D51276"/>
    <w:rsid w:val="00D7035F"/>
    <w:rsid w:val="00DA634F"/>
    <w:rsid w:val="00DA65AC"/>
    <w:rsid w:val="00DB1913"/>
    <w:rsid w:val="00DC410D"/>
    <w:rsid w:val="00DC5A81"/>
    <w:rsid w:val="00DC68CA"/>
    <w:rsid w:val="00DC7CBA"/>
    <w:rsid w:val="00DD73B7"/>
    <w:rsid w:val="00DF28BC"/>
    <w:rsid w:val="00DF34B9"/>
    <w:rsid w:val="00E01053"/>
    <w:rsid w:val="00E07ACF"/>
    <w:rsid w:val="00E331A1"/>
    <w:rsid w:val="00E33202"/>
    <w:rsid w:val="00E336A9"/>
    <w:rsid w:val="00E472B1"/>
    <w:rsid w:val="00E50624"/>
    <w:rsid w:val="00E54633"/>
    <w:rsid w:val="00E568DF"/>
    <w:rsid w:val="00E64269"/>
    <w:rsid w:val="00E82267"/>
    <w:rsid w:val="00E853CE"/>
    <w:rsid w:val="00E867B6"/>
    <w:rsid w:val="00EA010F"/>
    <w:rsid w:val="00ED1B63"/>
    <w:rsid w:val="00ED3C1F"/>
    <w:rsid w:val="00ED4085"/>
    <w:rsid w:val="00ED420E"/>
    <w:rsid w:val="00ED6FBE"/>
    <w:rsid w:val="00EE2F57"/>
    <w:rsid w:val="00EF4C34"/>
    <w:rsid w:val="00EF77C6"/>
    <w:rsid w:val="00F05438"/>
    <w:rsid w:val="00F1361C"/>
    <w:rsid w:val="00F156F0"/>
    <w:rsid w:val="00F160C7"/>
    <w:rsid w:val="00F2408F"/>
    <w:rsid w:val="00F240E9"/>
    <w:rsid w:val="00F36D8F"/>
    <w:rsid w:val="00F417B1"/>
    <w:rsid w:val="00F45853"/>
    <w:rsid w:val="00F602DF"/>
    <w:rsid w:val="00F754A1"/>
    <w:rsid w:val="00F81FD9"/>
    <w:rsid w:val="00F841AA"/>
    <w:rsid w:val="00F84A94"/>
    <w:rsid w:val="00F87E96"/>
    <w:rsid w:val="00FA23E8"/>
    <w:rsid w:val="00FD3CC1"/>
    <w:rsid w:val="00FF1E02"/>
    <w:rsid w:val="00FF30B4"/>
    <w:rsid w:val="012A5EC2"/>
    <w:rsid w:val="015975B8"/>
    <w:rsid w:val="02213098"/>
    <w:rsid w:val="027756BF"/>
    <w:rsid w:val="02FEBE30"/>
    <w:rsid w:val="0337738D"/>
    <w:rsid w:val="04916F1E"/>
    <w:rsid w:val="05353DA0"/>
    <w:rsid w:val="061E35DE"/>
    <w:rsid w:val="066E0107"/>
    <w:rsid w:val="06BE2ACC"/>
    <w:rsid w:val="07996F6E"/>
    <w:rsid w:val="07DFD8BA"/>
    <w:rsid w:val="08E500DB"/>
    <w:rsid w:val="09294886"/>
    <w:rsid w:val="09635565"/>
    <w:rsid w:val="09867E8F"/>
    <w:rsid w:val="0A2032A3"/>
    <w:rsid w:val="0A717628"/>
    <w:rsid w:val="0BBA348A"/>
    <w:rsid w:val="0CA8290A"/>
    <w:rsid w:val="0CEF4B48"/>
    <w:rsid w:val="0D35B1ED"/>
    <w:rsid w:val="0E254B6B"/>
    <w:rsid w:val="0E497AA7"/>
    <w:rsid w:val="0F98263C"/>
    <w:rsid w:val="10086339"/>
    <w:rsid w:val="101860EC"/>
    <w:rsid w:val="101F47CC"/>
    <w:rsid w:val="10AB2612"/>
    <w:rsid w:val="10C055FF"/>
    <w:rsid w:val="10F0260D"/>
    <w:rsid w:val="10F84CA6"/>
    <w:rsid w:val="113B273E"/>
    <w:rsid w:val="11421D1E"/>
    <w:rsid w:val="11694EBD"/>
    <w:rsid w:val="11772AA4"/>
    <w:rsid w:val="118107EC"/>
    <w:rsid w:val="126E3A6B"/>
    <w:rsid w:val="12E12E71"/>
    <w:rsid w:val="12E24EE2"/>
    <w:rsid w:val="12E365AD"/>
    <w:rsid w:val="12EA79AF"/>
    <w:rsid w:val="13041331"/>
    <w:rsid w:val="13824C83"/>
    <w:rsid w:val="13D50BC4"/>
    <w:rsid w:val="14B17F78"/>
    <w:rsid w:val="15510782"/>
    <w:rsid w:val="156965FF"/>
    <w:rsid w:val="165E0673"/>
    <w:rsid w:val="168F3420"/>
    <w:rsid w:val="169A1CB5"/>
    <w:rsid w:val="16B831D5"/>
    <w:rsid w:val="16BB723D"/>
    <w:rsid w:val="17E50567"/>
    <w:rsid w:val="18622F00"/>
    <w:rsid w:val="186504BB"/>
    <w:rsid w:val="18A171DC"/>
    <w:rsid w:val="19A445FC"/>
    <w:rsid w:val="1A866FEF"/>
    <w:rsid w:val="1B4C593F"/>
    <w:rsid w:val="1BE8440E"/>
    <w:rsid w:val="1D155CEE"/>
    <w:rsid w:val="1D1638FE"/>
    <w:rsid w:val="1E312DEB"/>
    <w:rsid w:val="1E740ACF"/>
    <w:rsid w:val="1F705CAA"/>
    <w:rsid w:val="1FF35744"/>
    <w:rsid w:val="1FF6BC77"/>
    <w:rsid w:val="20866ED0"/>
    <w:rsid w:val="21515666"/>
    <w:rsid w:val="2186353C"/>
    <w:rsid w:val="21C52F96"/>
    <w:rsid w:val="22FF181D"/>
    <w:rsid w:val="23860B96"/>
    <w:rsid w:val="240371BF"/>
    <w:rsid w:val="244A4D1A"/>
    <w:rsid w:val="244F3473"/>
    <w:rsid w:val="246E3AC2"/>
    <w:rsid w:val="24C97D99"/>
    <w:rsid w:val="25A718F0"/>
    <w:rsid w:val="25BB59F6"/>
    <w:rsid w:val="260F557C"/>
    <w:rsid w:val="264473EE"/>
    <w:rsid w:val="26732897"/>
    <w:rsid w:val="26970054"/>
    <w:rsid w:val="26B506EC"/>
    <w:rsid w:val="27CB7F20"/>
    <w:rsid w:val="27FE2FDF"/>
    <w:rsid w:val="281408E2"/>
    <w:rsid w:val="281806F1"/>
    <w:rsid w:val="281B4440"/>
    <w:rsid w:val="29634188"/>
    <w:rsid w:val="29FD04D3"/>
    <w:rsid w:val="2A837488"/>
    <w:rsid w:val="2ACF5F58"/>
    <w:rsid w:val="2B8925CC"/>
    <w:rsid w:val="2BFF7BC6"/>
    <w:rsid w:val="2C8A61B5"/>
    <w:rsid w:val="2D4328D7"/>
    <w:rsid w:val="2DF04E50"/>
    <w:rsid w:val="2DF83A39"/>
    <w:rsid w:val="2DFA155F"/>
    <w:rsid w:val="2E0028ED"/>
    <w:rsid w:val="2E586DFA"/>
    <w:rsid w:val="2EAA3DF1"/>
    <w:rsid w:val="2F040D46"/>
    <w:rsid w:val="2F6B035B"/>
    <w:rsid w:val="2F974C59"/>
    <w:rsid w:val="2FAE5751"/>
    <w:rsid w:val="2FB1A395"/>
    <w:rsid w:val="2FB614B6"/>
    <w:rsid w:val="2FD9A7D8"/>
    <w:rsid w:val="2FDBF714"/>
    <w:rsid w:val="303D5733"/>
    <w:rsid w:val="30AB6865"/>
    <w:rsid w:val="319F21BA"/>
    <w:rsid w:val="319F7F4E"/>
    <w:rsid w:val="323F6356"/>
    <w:rsid w:val="328258BC"/>
    <w:rsid w:val="32BD1EF1"/>
    <w:rsid w:val="3304709D"/>
    <w:rsid w:val="33A773CB"/>
    <w:rsid w:val="349D6851"/>
    <w:rsid w:val="352E37B4"/>
    <w:rsid w:val="35560F57"/>
    <w:rsid w:val="35CE5984"/>
    <w:rsid w:val="36AA5135"/>
    <w:rsid w:val="36AB4931"/>
    <w:rsid w:val="36BE0DA7"/>
    <w:rsid w:val="36CB384E"/>
    <w:rsid w:val="376B6AA6"/>
    <w:rsid w:val="376D39B2"/>
    <w:rsid w:val="37DE6A62"/>
    <w:rsid w:val="37E16F03"/>
    <w:rsid w:val="37F53A3B"/>
    <w:rsid w:val="38241352"/>
    <w:rsid w:val="389B6C89"/>
    <w:rsid w:val="38B20BCF"/>
    <w:rsid w:val="38D469F0"/>
    <w:rsid w:val="39627CCD"/>
    <w:rsid w:val="397BAF1F"/>
    <w:rsid w:val="39A91C53"/>
    <w:rsid w:val="39F96B6F"/>
    <w:rsid w:val="3A8349DE"/>
    <w:rsid w:val="3AB79AF3"/>
    <w:rsid w:val="3AC30F2B"/>
    <w:rsid w:val="3AE834C0"/>
    <w:rsid w:val="3B5322AF"/>
    <w:rsid w:val="3B720C16"/>
    <w:rsid w:val="3B7EF35A"/>
    <w:rsid w:val="3B9FDB6C"/>
    <w:rsid w:val="3BF5BC2F"/>
    <w:rsid w:val="3C215B8B"/>
    <w:rsid w:val="3CEBA265"/>
    <w:rsid w:val="3D98207C"/>
    <w:rsid w:val="3DEE7CF3"/>
    <w:rsid w:val="3E740A63"/>
    <w:rsid w:val="3E78745D"/>
    <w:rsid w:val="3E8946EE"/>
    <w:rsid w:val="3EE17838"/>
    <w:rsid w:val="3F55381A"/>
    <w:rsid w:val="3F7F7599"/>
    <w:rsid w:val="3FAB2002"/>
    <w:rsid w:val="3FF4CAE0"/>
    <w:rsid w:val="3FF7B227"/>
    <w:rsid w:val="40130A24"/>
    <w:rsid w:val="40727D40"/>
    <w:rsid w:val="409969B6"/>
    <w:rsid w:val="41E61DDA"/>
    <w:rsid w:val="4268449D"/>
    <w:rsid w:val="42D44852"/>
    <w:rsid w:val="44E268DA"/>
    <w:rsid w:val="44F33213"/>
    <w:rsid w:val="450D13D7"/>
    <w:rsid w:val="45506656"/>
    <w:rsid w:val="459C6CDB"/>
    <w:rsid w:val="46F24544"/>
    <w:rsid w:val="482215D6"/>
    <w:rsid w:val="486A6C7A"/>
    <w:rsid w:val="49F904C5"/>
    <w:rsid w:val="4A627F82"/>
    <w:rsid w:val="4B0E749A"/>
    <w:rsid w:val="4B2477C4"/>
    <w:rsid w:val="4B4F25DA"/>
    <w:rsid w:val="4BB23021"/>
    <w:rsid w:val="4BC84723"/>
    <w:rsid w:val="4BE068DB"/>
    <w:rsid w:val="4C341C88"/>
    <w:rsid w:val="4C5D000A"/>
    <w:rsid w:val="4D577224"/>
    <w:rsid w:val="4DBF1CEB"/>
    <w:rsid w:val="4DF0007C"/>
    <w:rsid w:val="4E296E9F"/>
    <w:rsid w:val="4E7B3BF3"/>
    <w:rsid w:val="4EAB630A"/>
    <w:rsid w:val="4ECE2238"/>
    <w:rsid w:val="4F833267"/>
    <w:rsid w:val="4F93316A"/>
    <w:rsid w:val="4FE9BD67"/>
    <w:rsid w:val="4FFB052F"/>
    <w:rsid w:val="51545631"/>
    <w:rsid w:val="51DD5A0B"/>
    <w:rsid w:val="52173BDE"/>
    <w:rsid w:val="526B5CD8"/>
    <w:rsid w:val="532C190B"/>
    <w:rsid w:val="536239D8"/>
    <w:rsid w:val="537E6D0A"/>
    <w:rsid w:val="53F74C96"/>
    <w:rsid w:val="55170BA8"/>
    <w:rsid w:val="553218C9"/>
    <w:rsid w:val="55D42901"/>
    <w:rsid w:val="56156687"/>
    <w:rsid w:val="561F43C7"/>
    <w:rsid w:val="567E1AA5"/>
    <w:rsid w:val="56E47B74"/>
    <w:rsid w:val="57175D52"/>
    <w:rsid w:val="57BD3DD4"/>
    <w:rsid w:val="5818245E"/>
    <w:rsid w:val="58F2563E"/>
    <w:rsid w:val="598D0C2A"/>
    <w:rsid w:val="5AF92295"/>
    <w:rsid w:val="5B250254"/>
    <w:rsid w:val="5B920779"/>
    <w:rsid w:val="5BDD79E6"/>
    <w:rsid w:val="5BF561CA"/>
    <w:rsid w:val="5BFB1E7B"/>
    <w:rsid w:val="5BFF5DFC"/>
    <w:rsid w:val="5C216BFF"/>
    <w:rsid w:val="5C550D0F"/>
    <w:rsid w:val="5C6E334D"/>
    <w:rsid w:val="5C872D95"/>
    <w:rsid w:val="5CD71FC4"/>
    <w:rsid w:val="5D1F11B5"/>
    <w:rsid w:val="5D695134"/>
    <w:rsid w:val="5D8F4F70"/>
    <w:rsid w:val="5DAE1B18"/>
    <w:rsid w:val="5DE7D9E5"/>
    <w:rsid w:val="5EB82262"/>
    <w:rsid w:val="5ECEC941"/>
    <w:rsid w:val="5F0C50F0"/>
    <w:rsid w:val="5F3D7438"/>
    <w:rsid w:val="5FBF9FF3"/>
    <w:rsid w:val="5FC151E4"/>
    <w:rsid w:val="5FCD4E2C"/>
    <w:rsid w:val="5FEF394A"/>
    <w:rsid w:val="5FF67715"/>
    <w:rsid w:val="60AE30F2"/>
    <w:rsid w:val="624C4EB5"/>
    <w:rsid w:val="62BF3928"/>
    <w:rsid w:val="637864A7"/>
    <w:rsid w:val="63A34BA5"/>
    <w:rsid w:val="63B3701E"/>
    <w:rsid w:val="647F5392"/>
    <w:rsid w:val="64F4160B"/>
    <w:rsid w:val="653B778C"/>
    <w:rsid w:val="65E66580"/>
    <w:rsid w:val="664B1D71"/>
    <w:rsid w:val="664B4E8E"/>
    <w:rsid w:val="67277B67"/>
    <w:rsid w:val="67AA3209"/>
    <w:rsid w:val="688F4D44"/>
    <w:rsid w:val="68C16188"/>
    <w:rsid w:val="698D0931"/>
    <w:rsid w:val="6A7F636D"/>
    <w:rsid w:val="6A7FE5F3"/>
    <w:rsid w:val="6A941E18"/>
    <w:rsid w:val="6B053271"/>
    <w:rsid w:val="6B090119"/>
    <w:rsid w:val="6B194EF6"/>
    <w:rsid w:val="6BA77929"/>
    <w:rsid w:val="6BDD78B3"/>
    <w:rsid w:val="6C4A05C8"/>
    <w:rsid w:val="6C727F37"/>
    <w:rsid w:val="6C8742B8"/>
    <w:rsid w:val="6CA05869"/>
    <w:rsid w:val="6DBF5E93"/>
    <w:rsid w:val="6DFF077E"/>
    <w:rsid w:val="6E714EF0"/>
    <w:rsid w:val="6E7E3605"/>
    <w:rsid w:val="6E7FDCC7"/>
    <w:rsid w:val="6ED6A62E"/>
    <w:rsid w:val="6EE00B15"/>
    <w:rsid w:val="6EE97FE6"/>
    <w:rsid w:val="6F6FB3EB"/>
    <w:rsid w:val="6F8731EA"/>
    <w:rsid w:val="6FB50862"/>
    <w:rsid w:val="6FCE6052"/>
    <w:rsid w:val="6FD57C00"/>
    <w:rsid w:val="6FEFFFD8"/>
    <w:rsid w:val="6FF134EB"/>
    <w:rsid w:val="6FF5CC65"/>
    <w:rsid w:val="6FFB47EC"/>
    <w:rsid w:val="6FFF034A"/>
    <w:rsid w:val="70484440"/>
    <w:rsid w:val="712A28F1"/>
    <w:rsid w:val="715C0E4B"/>
    <w:rsid w:val="71992E7C"/>
    <w:rsid w:val="72233669"/>
    <w:rsid w:val="722F68B9"/>
    <w:rsid w:val="72734D90"/>
    <w:rsid w:val="72895D82"/>
    <w:rsid w:val="73160E6D"/>
    <w:rsid w:val="7332FE48"/>
    <w:rsid w:val="73AB61DA"/>
    <w:rsid w:val="73AD73D5"/>
    <w:rsid w:val="73B6EB34"/>
    <w:rsid w:val="73FA497D"/>
    <w:rsid w:val="744731E5"/>
    <w:rsid w:val="74BBD01D"/>
    <w:rsid w:val="74D304DE"/>
    <w:rsid w:val="74ED5379"/>
    <w:rsid w:val="756932A9"/>
    <w:rsid w:val="75AA0C39"/>
    <w:rsid w:val="75BA46FD"/>
    <w:rsid w:val="75DEEEC2"/>
    <w:rsid w:val="75E32345"/>
    <w:rsid w:val="766052A4"/>
    <w:rsid w:val="76A41B15"/>
    <w:rsid w:val="76E3355F"/>
    <w:rsid w:val="76FF5125"/>
    <w:rsid w:val="77575322"/>
    <w:rsid w:val="776F6FFA"/>
    <w:rsid w:val="778769C8"/>
    <w:rsid w:val="77A75DCA"/>
    <w:rsid w:val="77DC22F5"/>
    <w:rsid w:val="77FD3D5C"/>
    <w:rsid w:val="78133DBB"/>
    <w:rsid w:val="783E271A"/>
    <w:rsid w:val="7850571A"/>
    <w:rsid w:val="78616DE9"/>
    <w:rsid w:val="78AA797A"/>
    <w:rsid w:val="78CF04BF"/>
    <w:rsid w:val="78D527E1"/>
    <w:rsid w:val="78E875D7"/>
    <w:rsid w:val="79086DAD"/>
    <w:rsid w:val="79B853F7"/>
    <w:rsid w:val="79D7FD79"/>
    <w:rsid w:val="79EE5BA4"/>
    <w:rsid w:val="7A175207"/>
    <w:rsid w:val="7A75410C"/>
    <w:rsid w:val="7A894339"/>
    <w:rsid w:val="7AD284E8"/>
    <w:rsid w:val="7AFF7572"/>
    <w:rsid w:val="7B6C7DFB"/>
    <w:rsid w:val="7BBFBED0"/>
    <w:rsid w:val="7BC3E394"/>
    <w:rsid w:val="7C1F3737"/>
    <w:rsid w:val="7C676999"/>
    <w:rsid w:val="7CBFC87B"/>
    <w:rsid w:val="7CFE0F48"/>
    <w:rsid w:val="7D272ABC"/>
    <w:rsid w:val="7D7EC23E"/>
    <w:rsid w:val="7E8ADEBF"/>
    <w:rsid w:val="7E937696"/>
    <w:rsid w:val="7EEF11D3"/>
    <w:rsid w:val="7EFE4840"/>
    <w:rsid w:val="7F0971A6"/>
    <w:rsid w:val="7F1D62E7"/>
    <w:rsid w:val="7F3027E0"/>
    <w:rsid w:val="7F3F679B"/>
    <w:rsid w:val="7F4FC4EF"/>
    <w:rsid w:val="7F5E4D54"/>
    <w:rsid w:val="7F6E0135"/>
    <w:rsid w:val="7F79F205"/>
    <w:rsid w:val="7FA30C79"/>
    <w:rsid w:val="7FA79C44"/>
    <w:rsid w:val="7FAF8ABF"/>
    <w:rsid w:val="7FB7269E"/>
    <w:rsid w:val="7FC96657"/>
    <w:rsid w:val="7FDA9588"/>
    <w:rsid w:val="7FDF220F"/>
    <w:rsid w:val="7FEDC5F7"/>
    <w:rsid w:val="7FEDD9DE"/>
    <w:rsid w:val="7FF5890D"/>
    <w:rsid w:val="7FF93490"/>
    <w:rsid w:val="99FF2014"/>
    <w:rsid w:val="A6DD0D7F"/>
    <w:rsid w:val="ACFF4FBB"/>
    <w:rsid w:val="ADC6F725"/>
    <w:rsid w:val="B7CF06AB"/>
    <w:rsid w:val="B7CFA926"/>
    <w:rsid w:val="B7F8786B"/>
    <w:rsid w:val="BABB6AA1"/>
    <w:rsid w:val="BB2F4199"/>
    <w:rsid w:val="BCFFB442"/>
    <w:rsid w:val="BD079C78"/>
    <w:rsid w:val="BD733540"/>
    <w:rsid w:val="BF3735D5"/>
    <w:rsid w:val="BF7F09AC"/>
    <w:rsid w:val="BFD475C3"/>
    <w:rsid w:val="BFDE5EA6"/>
    <w:rsid w:val="CF6FC6F3"/>
    <w:rsid w:val="CFD3D3D7"/>
    <w:rsid w:val="CFDF1009"/>
    <w:rsid w:val="D7D7B16A"/>
    <w:rsid w:val="D8D6DB89"/>
    <w:rsid w:val="DB6F4CAB"/>
    <w:rsid w:val="DB777682"/>
    <w:rsid w:val="DD1FB521"/>
    <w:rsid w:val="DEFBFEAE"/>
    <w:rsid w:val="DF1F3B80"/>
    <w:rsid w:val="DF6F9789"/>
    <w:rsid w:val="DFE9BE81"/>
    <w:rsid w:val="DFFFA9E8"/>
    <w:rsid w:val="E5F4E9DC"/>
    <w:rsid w:val="E70FE695"/>
    <w:rsid w:val="EB2E368B"/>
    <w:rsid w:val="ECFED1BC"/>
    <w:rsid w:val="ED1D69BB"/>
    <w:rsid w:val="ED7FD312"/>
    <w:rsid w:val="EF2E1AC6"/>
    <w:rsid w:val="EF53993F"/>
    <w:rsid w:val="EF6FD633"/>
    <w:rsid w:val="EFBFB2F4"/>
    <w:rsid w:val="EFBFFA21"/>
    <w:rsid w:val="F2BEBCB8"/>
    <w:rsid w:val="F36FB518"/>
    <w:rsid w:val="F3DE1A04"/>
    <w:rsid w:val="F3F722E5"/>
    <w:rsid w:val="F4FBCD07"/>
    <w:rsid w:val="FA5F1E70"/>
    <w:rsid w:val="FA5FDB97"/>
    <w:rsid w:val="FB7F486A"/>
    <w:rsid w:val="FBFF5B2E"/>
    <w:rsid w:val="FD7FFE2B"/>
    <w:rsid w:val="FDEE196B"/>
    <w:rsid w:val="FDFE6575"/>
    <w:rsid w:val="FEDFDDC2"/>
    <w:rsid w:val="FEED32F6"/>
    <w:rsid w:val="FEF781DD"/>
    <w:rsid w:val="FF3F7E3F"/>
    <w:rsid w:val="FFBA12D7"/>
    <w:rsid w:val="FFCBD314"/>
    <w:rsid w:val="FFDFF91C"/>
    <w:rsid w:val="FFDFFAEE"/>
    <w:rsid w:val="FFEF6777"/>
    <w:rsid w:val="FFF9B57B"/>
    <w:rsid w:val="FFFD61D9"/>
    <w:rsid w:val="FFFD8F59"/>
    <w:rsid w:val="FFFF2BB1"/>
    <w:rsid w:val="FFFFB04D"/>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0"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1"/>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32"/>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35"/>
    <w:unhideWhenUsed/>
    <w:qFormat/>
    <w:uiPriority w:val="9"/>
    <w:pPr>
      <w:keepNext/>
      <w:keepLines/>
      <w:spacing w:before="260" w:after="260" w:line="416" w:lineRule="auto"/>
      <w:outlineLvl w:val="2"/>
    </w:pPr>
    <w:rPr>
      <w:b/>
      <w:bCs/>
      <w:sz w:val="32"/>
      <w:szCs w:val="32"/>
    </w:rPr>
  </w:style>
  <w:style w:type="character" w:default="1" w:styleId="19">
    <w:name w:val="Default Paragraph Font"/>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5">
    <w:name w:val="Body Text"/>
    <w:basedOn w:val="1"/>
    <w:link w:val="28"/>
    <w:qFormat/>
    <w:uiPriority w:val="99"/>
    <w:pPr>
      <w:spacing w:beforeLines="30"/>
    </w:pPr>
    <w:rPr>
      <w:rFonts w:ascii="仿宋_GB2312" w:eastAsia="仿宋_GB2312"/>
      <w:kern w:val="0"/>
      <w:sz w:val="30"/>
    </w:rPr>
  </w:style>
  <w:style w:type="paragraph" w:styleId="6">
    <w:name w:val="Body Text Indent"/>
    <w:basedOn w:val="1"/>
    <w:next w:val="7"/>
    <w:qFormat/>
    <w:uiPriority w:val="0"/>
    <w:pPr>
      <w:spacing w:after="120"/>
      <w:ind w:leftChars="200"/>
    </w:pPr>
    <w:rPr>
      <w:rFonts w:ascii="仿宋_GB2312"/>
      <w:szCs w:val="32"/>
    </w:rPr>
  </w:style>
  <w:style w:type="paragraph" w:styleId="7">
    <w:name w:val="Body Text First Indent 2"/>
    <w:basedOn w:val="6"/>
    <w:unhideWhenUsed/>
    <w:qFormat/>
    <w:uiPriority w:val="99"/>
    <w:pPr>
      <w:ind w:firstLine="420" w:firstLineChars="200"/>
    </w:pPr>
  </w:style>
  <w:style w:type="paragraph" w:styleId="8">
    <w:name w:val="toc 3"/>
    <w:basedOn w:val="1"/>
    <w:next w:val="1"/>
    <w:unhideWhenUsed/>
    <w:qFormat/>
    <w:uiPriority w:val="39"/>
    <w:pPr>
      <w:tabs>
        <w:tab w:val="right" w:leader="dot" w:pos="8296"/>
      </w:tabs>
      <w:ind w:left="840" w:leftChars="400"/>
    </w:pPr>
  </w:style>
  <w:style w:type="paragraph" w:styleId="9">
    <w:name w:val="Plain Text"/>
    <w:basedOn w:val="1"/>
    <w:qFormat/>
    <w:uiPriority w:val="0"/>
    <w:rPr>
      <w:rFonts w:ascii="宋体" w:hAnsi="Courier New" w:eastAsia="宋体"/>
      <w:sz w:val="21"/>
    </w:rPr>
  </w:style>
  <w:style w:type="paragraph" w:styleId="10">
    <w:name w:val="Balloon Text"/>
    <w:basedOn w:val="1"/>
    <w:link w:val="34"/>
    <w:semiHidden/>
    <w:unhideWhenUsed/>
    <w:qFormat/>
    <w:uiPriority w:val="99"/>
    <w:rPr>
      <w:sz w:val="18"/>
      <w:szCs w:val="18"/>
    </w:rPr>
  </w:style>
  <w:style w:type="paragraph" w:styleId="11">
    <w:name w:val="footer"/>
    <w:basedOn w:val="1"/>
    <w:link w:val="26"/>
    <w:qFormat/>
    <w:uiPriority w:val="99"/>
    <w:pPr>
      <w:tabs>
        <w:tab w:val="center" w:pos="4153"/>
        <w:tab w:val="right" w:pos="8306"/>
      </w:tabs>
      <w:snapToGrid w:val="0"/>
      <w:jc w:val="left"/>
    </w:pPr>
    <w:rPr>
      <w:rFonts w:ascii="Calibri" w:hAnsi="Calibri"/>
      <w:kern w:val="0"/>
      <w:sz w:val="18"/>
      <w:szCs w:val="18"/>
    </w:rPr>
  </w:style>
  <w:style w:type="paragraph" w:styleId="12">
    <w:name w:val="header"/>
    <w:basedOn w:val="1"/>
    <w:link w:val="24"/>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3">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4">
    <w:name w:val="footnote text"/>
    <w:basedOn w:val="1"/>
    <w:next w:val="7"/>
    <w:semiHidden/>
    <w:qFormat/>
    <w:uiPriority w:val="0"/>
    <w:pPr>
      <w:snapToGrid w:val="0"/>
      <w:jc w:val="left"/>
    </w:pPr>
    <w:rPr>
      <w:sz w:val="18"/>
      <w:szCs w:val="18"/>
    </w:rPr>
  </w:style>
  <w:style w:type="paragraph" w:styleId="15">
    <w:name w:val="toc 2"/>
    <w:basedOn w:val="1"/>
    <w:next w:val="1"/>
    <w:unhideWhenUsed/>
    <w:qFormat/>
    <w:uiPriority w:val="39"/>
    <w:pPr>
      <w:tabs>
        <w:tab w:val="right" w:leader="dot" w:pos="8296"/>
      </w:tabs>
      <w:ind w:left="420" w:leftChars="200"/>
    </w:pPr>
  </w:style>
  <w:style w:type="paragraph" w:styleId="16">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17">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20">
    <w:name w:val="Strong"/>
    <w:basedOn w:val="19"/>
    <w:qFormat/>
    <w:uiPriority w:val="99"/>
    <w:rPr>
      <w:b/>
    </w:rPr>
  </w:style>
  <w:style w:type="character" w:styleId="21">
    <w:name w:val="Hyperlink"/>
    <w:basedOn w:val="19"/>
    <w:unhideWhenUsed/>
    <w:qFormat/>
    <w:uiPriority w:val="99"/>
    <w:rPr>
      <w:color w:val="0000FF" w:themeColor="hyperlink"/>
      <w:u w:val="single"/>
      <w14:textFill>
        <w14:solidFill>
          <w14:schemeClr w14:val="hlink"/>
        </w14:solidFill>
      </w14:textFill>
    </w:rPr>
  </w:style>
  <w:style w:type="paragraph" w:customStyle="1" w:styleId="22">
    <w:name w:val="标题 5（有编号）（绿盟科技）"/>
    <w:next w:val="1"/>
    <w:qFormat/>
    <w:uiPriority w:val="99"/>
    <w:pPr>
      <w:keepNext/>
      <w:keepLines/>
      <w:widowControl w:val="0"/>
      <w:spacing w:before="280" w:after="156" w:line="377" w:lineRule="auto"/>
      <w:jc w:val="left"/>
      <w:outlineLvl w:val="4"/>
    </w:pPr>
    <w:rPr>
      <w:rFonts w:ascii="Arial" w:hAnsi="Arial" w:eastAsia="黑体" w:cs="Times New Roman"/>
      <w:b/>
      <w:kern w:val="2"/>
      <w:sz w:val="24"/>
      <w:szCs w:val="28"/>
      <w:lang w:val="en-US" w:eastAsia="zh-CN" w:bidi="ar-SA"/>
    </w:rPr>
  </w:style>
  <w:style w:type="character" w:customStyle="1" w:styleId="23">
    <w:name w:val="Header Char"/>
    <w:basedOn w:val="19"/>
    <w:semiHidden/>
    <w:qFormat/>
    <w:uiPriority w:val="99"/>
    <w:rPr>
      <w:rFonts w:ascii="Times New Roman" w:hAnsi="Times New Roman"/>
      <w:sz w:val="18"/>
      <w:szCs w:val="18"/>
    </w:rPr>
  </w:style>
  <w:style w:type="character" w:customStyle="1" w:styleId="24">
    <w:name w:val="页眉 Char"/>
    <w:link w:val="12"/>
    <w:semiHidden/>
    <w:qFormat/>
    <w:locked/>
    <w:uiPriority w:val="99"/>
    <w:rPr>
      <w:sz w:val="18"/>
    </w:rPr>
  </w:style>
  <w:style w:type="character" w:customStyle="1" w:styleId="25">
    <w:name w:val="Footer Char"/>
    <w:basedOn w:val="19"/>
    <w:semiHidden/>
    <w:qFormat/>
    <w:uiPriority w:val="99"/>
    <w:rPr>
      <w:rFonts w:ascii="Times New Roman" w:hAnsi="Times New Roman"/>
      <w:sz w:val="18"/>
      <w:szCs w:val="18"/>
    </w:rPr>
  </w:style>
  <w:style w:type="character" w:customStyle="1" w:styleId="26">
    <w:name w:val="页脚 Char"/>
    <w:link w:val="11"/>
    <w:qFormat/>
    <w:locked/>
    <w:uiPriority w:val="99"/>
    <w:rPr>
      <w:sz w:val="18"/>
    </w:rPr>
  </w:style>
  <w:style w:type="character" w:customStyle="1" w:styleId="27">
    <w:name w:val="Body Text Char"/>
    <w:basedOn w:val="19"/>
    <w:semiHidden/>
    <w:qFormat/>
    <w:uiPriority w:val="99"/>
    <w:rPr>
      <w:rFonts w:ascii="Times New Roman" w:hAnsi="Times New Roman"/>
      <w:szCs w:val="24"/>
    </w:rPr>
  </w:style>
  <w:style w:type="character" w:customStyle="1" w:styleId="28">
    <w:name w:val="正文文本 Char"/>
    <w:link w:val="5"/>
    <w:qFormat/>
    <w:locked/>
    <w:uiPriority w:val="99"/>
    <w:rPr>
      <w:rFonts w:ascii="仿宋_GB2312" w:hAnsi="Times New Roman" w:eastAsia="仿宋_GB2312"/>
      <w:sz w:val="24"/>
    </w:rPr>
  </w:style>
  <w:style w:type="paragraph" w:customStyle="1" w:styleId="29">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30">
    <w:name w:val="List Paragraph"/>
    <w:basedOn w:val="1"/>
    <w:qFormat/>
    <w:uiPriority w:val="34"/>
    <w:pPr>
      <w:ind w:firstLine="420" w:firstLineChars="200"/>
    </w:pPr>
  </w:style>
  <w:style w:type="character" w:customStyle="1" w:styleId="31">
    <w:name w:val="标题 1 Char"/>
    <w:basedOn w:val="19"/>
    <w:link w:val="2"/>
    <w:qFormat/>
    <w:uiPriority w:val="9"/>
    <w:rPr>
      <w:rFonts w:ascii="Times New Roman" w:hAnsi="Times New Roman"/>
      <w:b/>
      <w:bCs/>
      <w:kern w:val="44"/>
      <w:sz w:val="44"/>
      <w:szCs w:val="44"/>
    </w:rPr>
  </w:style>
  <w:style w:type="character" w:customStyle="1" w:styleId="32">
    <w:name w:val="标题 2 Char"/>
    <w:basedOn w:val="19"/>
    <w:link w:val="3"/>
    <w:qFormat/>
    <w:uiPriority w:val="9"/>
    <w:rPr>
      <w:rFonts w:asciiTheme="majorHAnsi" w:hAnsiTheme="majorHAnsi" w:eastAsiaTheme="majorEastAsia" w:cstheme="majorBidi"/>
      <w:b/>
      <w:bCs/>
      <w:kern w:val="2"/>
      <w:sz w:val="32"/>
      <w:szCs w:val="32"/>
    </w:rPr>
  </w:style>
  <w:style w:type="paragraph" w:customStyle="1" w:styleId="33">
    <w:name w:val="TOC 标题1"/>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34">
    <w:name w:val="批注框文本 Char"/>
    <w:basedOn w:val="19"/>
    <w:link w:val="10"/>
    <w:semiHidden/>
    <w:qFormat/>
    <w:uiPriority w:val="99"/>
    <w:rPr>
      <w:rFonts w:ascii="Times New Roman" w:hAnsi="Times New Roman"/>
      <w:kern w:val="2"/>
      <w:sz w:val="18"/>
      <w:szCs w:val="18"/>
    </w:rPr>
  </w:style>
  <w:style w:type="character" w:customStyle="1" w:styleId="35">
    <w:name w:val="标题 3 Char"/>
    <w:basedOn w:val="19"/>
    <w:link w:val="4"/>
    <w:qFormat/>
    <w:uiPriority w:val="9"/>
    <w:rPr>
      <w:rFonts w:ascii="Times New Roman" w:hAnsi="Times New Roman"/>
      <w:b/>
      <w:bCs/>
      <w:kern w:val="2"/>
      <w:sz w:val="32"/>
      <w:szCs w:val="32"/>
    </w:rPr>
  </w:style>
  <w:style w:type="paragraph" w:customStyle="1" w:styleId="36">
    <w:name w:val="TOC Heading"/>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37">
    <w:name w:val="四号正文"/>
    <w:basedOn w:val="1"/>
    <w:qFormat/>
    <w:uiPriority w:val="0"/>
    <w:pPr>
      <w:spacing w:line="360" w:lineRule="auto"/>
    </w:pPr>
    <w:rPr>
      <w:rFonts w:ascii="??" w:hAnsi="??" w:eastAsia="宋体"/>
      <w:color w:val="000000"/>
      <w:kern w:val="0"/>
      <w:sz w:val="28"/>
      <w:szCs w:val="21"/>
      <w:lang w:val="zh-CN" w:eastAsia="zh-CN"/>
    </w:rPr>
  </w:style>
  <w:style w:type="paragraph" w:customStyle="1" w:styleId="38">
    <w:name w:val="普通(网站) Char"/>
    <w:basedOn w:val="1"/>
    <w:qFormat/>
    <w:uiPriority w:val="0"/>
    <w:pPr>
      <w:spacing w:beforeAutospacing="1" w:afterAutospacing="1"/>
    </w:pPr>
  </w:style>
</w:styles>
</file>

<file path=word/_rels/document.xml.rels><?xml version="1.0" encoding="UTF-8" standalone="yes"?>
<Relationships xmlns="http://schemas.openxmlformats.org/package/2006/relationships"><Relationship Id="rId9" Type="http://schemas.openxmlformats.org/officeDocument/2006/relationships/chart" Target="charts/chart3.xml"/><Relationship Id="rId8" Type="http://schemas.openxmlformats.org/officeDocument/2006/relationships/chart" Target="charts/chart2.xml"/><Relationship Id="rId7" Type="http://schemas.openxmlformats.org/officeDocument/2006/relationships/chart" Target="charts/chart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chart" Target="charts/chart7.xml"/><Relationship Id="rId12" Type="http://schemas.openxmlformats.org/officeDocument/2006/relationships/chart" Target="charts/chart6.xml"/><Relationship Id="rId11" Type="http://schemas.openxmlformats.org/officeDocument/2006/relationships/chart" Target="charts/chart5.xml"/><Relationship Id="rId10" Type="http://schemas.openxmlformats.org/officeDocument/2006/relationships/chart" Target="charts/chart4.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4" Type="http://schemas.microsoft.com/office/2011/relationships/chartColorStyle" Target="colors1.xml"/><Relationship Id="rId3" Type="http://schemas.microsoft.com/office/2011/relationships/chartStyle" Target="style1.xml"/><Relationship Id="rId2" Type="http://schemas.openxmlformats.org/officeDocument/2006/relationships/themeOverride" Target="../theme/themeOverride1.xml"/><Relationship Id="rId1" Type="http://schemas.openxmlformats.org/officeDocument/2006/relationships/oleObject" Target="file:///C:\Users\admin\Desktop\2024&#24180;&#20915;&#31639;&#20844;&#24320;\503001-&#25856;&#26525;&#33457;&#24066;&#31038;&#20250;&#20445;&#38505;&#20107;&#21153;&#20013;&#24515;-&#38468;&#34920;.xls" TargetMode="External"/></Relationships>
</file>

<file path=word/charts/_rels/chart2.xml.rels><?xml version="1.0" encoding="UTF-8" standalone="yes"?>
<Relationships xmlns="http://schemas.openxmlformats.org/package/2006/relationships"><Relationship Id="rId4" Type="http://schemas.microsoft.com/office/2011/relationships/chartColorStyle" Target="colors2.xml"/><Relationship Id="rId3" Type="http://schemas.microsoft.com/office/2011/relationships/chartStyle" Target="style2.xml"/><Relationship Id="rId2" Type="http://schemas.openxmlformats.org/officeDocument/2006/relationships/themeOverride" Target="../theme/themeOverride2.xml"/><Relationship Id="rId1" Type="http://schemas.openxmlformats.org/officeDocument/2006/relationships/oleObject" Target="file:///C:\Users\admin\Desktop\2024&#24180;&#20915;&#31639;&#20844;&#24320;\503001-&#25856;&#26525;&#33457;&#24066;&#31038;&#20250;&#20445;&#38505;&#20107;&#21153;&#20013;&#24515;-&#38468;&#34920;.xls" TargetMode="External"/></Relationships>
</file>

<file path=word/charts/_rels/chart3.xml.rels><?xml version="1.0" encoding="UTF-8" standalone="yes"?>
<Relationships xmlns="http://schemas.openxmlformats.org/package/2006/relationships"><Relationship Id="rId2" Type="http://schemas.openxmlformats.org/officeDocument/2006/relationships/themeOverride" Target="../theme/themeOverride3.xml"/><Relationship Id="rId1" Type="http://schemas.openxmlformats.org/officeDocument/2006/relationships/oleObject" Target="file:///C:\Users\admin\Desktop\2024&#24180;&#20915;&#31639;&#20844;&#24320;\503001-&#25856;&#26525;&#33457;&#24066;&#31038;&#20250;&#20445;&#38505;&#20107;&#21153;&#20013;&#24515;-&#38468;&#34920;.xls" TargetMode="External"/></Relationships>
</file>

<file path=word/charts/_rels/chart4.xml.rels><?xml version="1.0" encoding="UTF-8" standalone="yes"?>
<Relationships xmlns="http://schemas.openxmlformats.org/package/2006/relationships"><Relationship Id="rId4" Type="http://schemas.microsoft.com/office/2011/relationships/chartColorStyle" Target="colors3.xml"/><Relationship Id="rId3" Type="http://schemas.microsoft.com/office/2011/relationships/chartStyle" Target="style3.xml"/><Relationship Id="rId2" Type="http://schemas.openxmlformats.org/officeDocument/2006/relationships/themeOverride" Target="../theme/themeOverride4.xml"/><Relationship Id="rId1" Type="http://schemas.openxmlformats.org/officeDocument/2006/relationships/oleObject" Target="file:///C:\Users\admin\Desktop\2024&#24180;&#20915;&#31639;&#20844;&#24320;\503001-&#25856;&#26525;&#33457;&#24066;&#31038;&#20250;&#20445;&#38505;&#20107;&#21153;&#20013;&#24515;-&#38468;&#34920;.xls" TargetMode="External"/></Relationships>
</file>

<file path=word/charts/_rels/chart5.xml.rels><?xml version="1.0" encoding="UTF-8" standalone="yes"?>
<Relationships xmlns="http://schemas.openxmlformats.org/package/2006/relationships"><Relationship Id="rId5" Type="http://schemas.microsoft.com/office/2011/relationships/chartColorStyle" Target="colors4.xml"/><Relationship Id="rId4" Type="http://schemas.microsoft.com/office/2011/relationships/chartStyle" Target="style4.xml"/><Relationship Id="rId3" Type="http://schemas.openxmlformats.org/officeDocument/2006/relationships/image" Target="../media/image1.png"/><Relationship Id="rId2" Type="http://schemas.openxmlformats.org/officeDocument/2006/relationships/themeOverride" Target="../theme/themeOverride5.xml"/><Relationship Id="rId1" Type="http://schemas.openxmlformats.org/officeDocument/2006/relationships/oleObject" Target="file:///C:\Users\admin\Desktop\2024&#24180;&#20915;&#31639;&#20844;&#24320;\503001-&#25856;&#26525;&#33457;&#24066;&#31038;&#20250;&#20445;&#38505;&#20107;&#21153;&#20013;&#24515;-&#38468;&#34920;.xls" TargetMode="External"/></Relationships>
</file>

<file path=word/charts/_rels/chart6.xml.rels><?xml version="1.0" encoding="UTF-8" standalone="yes"?>
<Relationships xmlns="http://schemas.openxmlformats.org/package/2006/relationships"><Relationship Id="rId4" Type="http://schemas.microsoft.com/office/2011/relationships/chartColorStyle" Target="colors5.xml"/><Relationship Id="rId3" Type="http://schemas.microsoft.com/office/2011/relationships/chartStyle" Target="style5.xml"/><Relationship Id="rId2" Type="http://schemas.openxmlformats.org/officeDocument/2006/relationships/themeOverride" Target="../theme/themeOverride6.xml"/><Relationship Id="rId1" Type="http://schemas.openxmlformats.org/officeDocument/2006/relationships/oleObject" Target="file:///C:\Users\admin\Desktop\2024&#24180;&#20915;&#31639;&#20844;&#24320;\503001-&#25856;&#26525;&#33457;&#24066;&#31038;&#20250;&#20445;&#38505;&#20107;&#21153;&#20013;&#24515;-&#38468;&#34920;.xls" TargetMode="External"/></Relationships>
</file>

<file path=word/charts/_rels/chart7.xml.rels><?xml version="1.0" encoding="UTF-8" standalone="yes"?>
<Relationships xmlns="http://schemas.openxmlformats.org/package/2006/relationships"><Relationship Id="rId4" Type="http://schemas.microsoft.com/office/2011/relationships/chartColorStyle" Target="colors6.xml"/><Relationship Id="rId3" Type="http://schemas.microsoft.com/office/2011/relationships/chartStyle" Target="style6.xml"/><Relationship Id="rId2" Type="http://schemas.openxmlformats.org/officeDocument/2006/relationships/themeOverride" Target="../theme/themeOverride7.xml"/><Relationship Id="rId1" Type="http://schemas.openxmlformats.org/officeDocument/2006/relationships/oleObject" Target="file:///C:\Users\admin\Desktop\2024&#24180;&#20915;&#31639;&#20844;&#24320;\503001-&#25856;&#26525;&#33457;&#24066;&#31038;&#20250;&#20445;&#38505;&#20107;&#21153;&#20013;&#24515;-&#38468;&#34920;.xls"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0" vertOverflow="ellipsis" vert="horz" wrap="square" anchor="ctr" anchorCtr="1" forceAA="0"/>
          <a:lstStyle/>
          <a:p>
            <a:pPr>
              <a:defRPr lang="zh-CN" sz="1400" b="0" i="0" u="none" strike="noStrike" kern="1200" baseline="0">
                <a:solidFill>
                  <a:schemeClr val="tx1">
                    <a:lumMod val="75000"/>
                    <a:lumOff val="25000"/>
                  </a:schemeClr>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r>
              <a:t>收入、支出决算总计变动情况图</a:t>
            </a:r>
          </a:p>
        </c:rich>
      </c:tx>
      <c:layout/>
      <c:overlay val="0"/>
      <c:spPr>
        <a:noFill/>
        <a:ln>
          <a:noFill/>
        </a:ln>
        <a:effectLst/>
      </c:spPr>
    </c:title>
    <c:autoTitleDeleted val="0"/>
    <c:plotArea>
      <c:layout/>
      <c:barChart>
        <c:barDir val="col"/>
        <c:grouping val="clustered"/>
        <c:varyColors val="0"/>
        <c:ser>
          <c:idx val="0"/>
          <c:order val="0"/>
          <c:spPr>
            <a:solidFill>
              <a:schemeClr val="accent1">
                <a:hueOff val="0"/>
                <a:alpha val="70000"/>
              </a:schemeClr>
            </a:solidFill>
            <a:ln>
              <a:noFill/>
            </a:ln>
            <a:effectLst/>
          </c:spPr>
          <c:invertIfNegative val="0"/>
          <c:dPt>
            <c:idx val="0"/>
            <c:invertIfNegative val="0"/>
            <c:bubble3D val="0"/>
            <c:spPr>
              <a:gradFill>
                <a:gsLst>
                  <a:gs pos="51300">
                    <a:srgbClr val="4888CF"/>
                  </a:gs>
                  <a:gs pos="0">
                    <a:srgbClr val="95D2FF"/>
                  </a:gs>
                  <a:gs pos="95000">
                    <a:srgbClr val="3965A3"/>
                  </a:gs>
                </a:gsLst>
                <a:lin ang="5400000" scaled="1"/>
              </a:gradFill>
              <a:ln>
                <a:noFill/>
              </a:ln>
              <a:effectLst/>
            </c:spPr>
          </c:dPt>
          <c:dPt>
            <c:idx val="1"/>
            <c:invertIfNegative val="0"/>
            <c:bubble3D val="0"/>
            <c:spPr>
              <a:gradFill>
                <a:gsLst>
                  <a:gs pos="51300">
                    <a:srgbClr val="4888CF"/>
                  </a:gs>
                  <a:gs pos="0">
                    <a:srgbClr val="95D2FF"/>
                  </a:gs>
                  <a:gs pos="95000">
                    <a:srgbClr val="3965A3"/>
                  </a:gs>
                </a:gsLst>
                <a:lin ang="5400000" scaled="1"/>
              </a:gradFill>
              <a:ln>
                <a:noFill/>
              </a:ln>
              <a:effectLst/>
            </c:spPr>
          </c:dPt>
          <c:dLbls>
            <c:numFmt formatCode="General" sourceLinked="1"/>
            <c:spPr>
              <a:noFill/>
              <a:ln>
                <a:noFill/>
              </a:ln>
              <a:effectLst/>
            </c:spPr>
            <c:txPr>
              <a:bodyPr rot="0" spcFirstLastPara="0" vertOverflow="ellipsis" vert="horz" wrap="square" lIns="38100" tIns="19050" rIns="38100" bIns="19050" anchor="ctr" anchorCtr="1" forceAA="0"/>
              <a:lstStyle/>
              <a:p>
                <a:pPr>
                  <a:defRPr lang="zh-CN" sz="1000" b="0" i="0" u="none" strike="noStrike" kern="1200" baseline="0">
                    <a:solidFill>
                      <a:srgbClr val="FFFFFF"/>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p>
            </c:txPr>
            <c:dLblPos val="in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'[503001-攀枝花市社会保险事务中心-附表.xls]Sheet1'!$A$2:$A$3</c:f>
              <c:strCache>
                <c:ptCount val="2"/>
                <c:pt idx="0">
                  <c:v>2023年</c:v>
                </c:pt>
                <c:pt idx="1">
                  <c:v>2024年</c:v>
                </c:pt>
              </c:strCache>
            </c:strRef>
          </c:cat>
          <c:val>
            <c:numRef>
              <c:f>'[503001-攀枝花市社会保险事务中心-附表.xls]Sheet1'!$B$2:$B$3</c:f>
              <c:numCache>
                <c:formatCode>General</c:formatCode>
                <c:ptCount val="2"/>
                <c:pt idx="0">
                  <c:v>1555.91</c:v>
                </c:pt>
                <c:pt idx="1">
                  <c:v>1482.05</c:v>
                </c:pt>
              </c:numCache>
            </c:numRef>
          </c:val>
        </c:ser>
        <c:dLbls>
          <c:showLegendKey val="0"/>
          <c:showVal val="1"/>
          <c:showCatName val="0"/>
          <c:showSerName val="0"/>
          <c:showPercent val="0"/>
          <c:showBubbleSize val="0"/>
        </c:dLbls>
        <c:gapWidth val="75"/>
        <c:overlap val="40"/>
        <c:axId val="739046542"/>
        <c:axId val="260013266"/>
      </c:barChart>
      <c:catAx>
        <c:axId val="739046542"/>
        <c:scaling>
          <c:orientation val="minMax"/>
        </c:scaling>
        <c:delete val="0"/>
        <c:axPos val="b"/>
        <c:numFmt formatCode="General" sourceLinked="1"/>
        <c:majorTickMark val="none"/>
        <c:minorTickMark val="none"/>
        <c:tickLblPos val="nextTo"/>
        <c:spPr>
          <a:noFill/>
          <a:ln w="6350" cap="flat" cmpd="sng" algn="ctr">
            <a:solidFill>
              <a:schemeClr val="tx1">
                <a:lumMod val="50000"/>
                <a:lumOff val="50000"/>
                <a:alpha val="25000"/>
              </a:schemeClr>
            </a:solidFill>
            <a:round/>
          </a:ln>
          <a:effectLst/>
        </c:spPr>
        <c:txPr>
          <a:bodyPr rot="-60000000" spcFirstLastPara="0" vertOverflow="ellipsis" vert="horz" wrap="square" anchor="ctr" anchorCtr="1" forceAA="0"/>
          <a:lstStyle/>
          <a:p>
            <a:pPr>
              <a:defRPr lang="zh-CN" sz="900" b="0" i="0" u="none" strike="noStrike" kern="1200" baseline="0">
                <a:solidFill>
                  <a:schemeClr val="tx1">
                    <a:lumMod val="65000"/>
                    <a:lumOff val="35000"/>
                  </a:schemeClr>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p>
        </c:txPr>
        <c:crossAx val="260013266"/>
        <c:crosses val="autoZero"/>
        <c:auto val="1"/>
        <c:lblAlgn val="ctr"/>
        <c:lblOffset val="100"/>
        <c:noMultiLvlLbl val="0"/>
      </c:catAx>
      <c:valAx>
        <c:axId val="260013266"/>
        <c:scaling>
          <c:orientation val="minMax"/>
        </c:scaling>
        <c:delete val="0"/>
        <c:axPos val="l"/>
        <c:majorGridlines>
          <c:spPr>
            <a:ln w="6350" cap="flat" cmpd="sng" algn="ctr">
              <a:solidFill>
                <a:schemeClr val="tx1">
                  <a:lumMod val="50000"/>
                  <a:lumOff val="50000"/>
                  <a:alpha val="250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forceAA="0"/>
          <a:lstStyle/>
          <a:p>
            <a:pPr>
              <a:defRPr lang="zh-CN" sz="900" b="0" i="0" u="none" strike="noStrike" kern="1200" baseline="0">
                <a:solidFill>
                  <a:schemeClr val="tx1">
                    <a:lumMod val="65000"/>
                    <a:lumOff val="35000"/>
                  </a:schemeClr>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p>
        </c:txPr>
        <c:crossAx val="739046542"/>
        <c:crosses val="autoZero"/>
        <c:crossBetween val="between"/>
      </c:valAx>
      <c:spPr>
        <a:noFill/>
        <a:ln>
          <a:noFill/>
        </a:ln>
        <a:effectLst/>
      </c:spPr>
    </c:plotArea>
    <c:plotVisOnly val="1"/>
    <c:dispBlanksAs val="gap"/>
    <c:showDLblsOverMax val="0"/>
    <c:extLst>
      <c:ext uri="{0b15fc19-7d7d-44ad-8c2d-2c3a37ce22c3}">
        <chartProps xmlns="https://web.wps.cn/et/2018/main" chartId="{e69ae14e-23a4-46f9-979b-2484c7a633af}"/>
      </c:ext>
    </c:extLst>
  </c:chart>
  <c:spPr>
    <a:solidFill>
      <a:schemeClr val="bg1"/>
    </a:solidFill>
    <a:ln w="6350" cap="flat" cmpd="sng" algn="ctr">
      <a:solidFill>
        <a:schemeClr val="tx1">
          <a:lumMod val="50000"/>
          <a:lumOff val="50000"/>
          <a:alpha val="25000"/>
        </a:schemeClr>
      </a:solidFill>
      <a:round/>
    </a:ln>
    <a:effectLst/>
  </c:spPr>
  <c:txPr>
    <a:bodyPr/>
    <a:lstStyle/>
    <a:p>
      <a:pPr>
        <a:defRPr lang="zh-CN">
          <a:latin typeface="微软雅黑" panose="020B0503020204020204" charset="-122"/>
          <a:ea typeface="微软雅黑" panose="020B0503020204020204" charset="-122"/>
          <a:cs typeface="微软雅黑" panose="020B0503020204020204" charset="-122"/>
          <a:sym typeface="微软雅黑" panose="020B0503020204020204" charset="-122"/>
        </a:defRPr>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0" vertOverflow="ellipsis" vert="horz" wrap="square" anchor="ctr" anchorCtr="1" forceAA="0"/>
          <a:lstStyle/>
          <a:p>
            <a:pPr defTabSz="914400">
              <a:defRPr lang="zh-CN" sz="1400" b="0" i="0" u="none" strike="noStrike" kern="1200" baseline="0">
                <a:solidFill>
                  <a:schemeClr val="tx1">
                    <a:lumMod val="75000"/>
                    <a:lumOff val="25000"/>
                  </a:schemeClr>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r>
              <a:t>收入决算结构图</a:t>
            </a:r>
          </a:p>
        </c:rich>
      </c:tx>
      <c:layout/>
      <c:overlay val="0"/>
      <c:spPr>
        <a:noFill/>
        <a:ln>
          <a:noFill/>
        </a:ln>
        <a:effectLst/>
      </c:spPr>
    </c:title>
    <c:autoTitleDeleted val="0"/>
    <c:view3D>
      <c:rotX val="30"/>
      <c:rotY val="0"/>
      <c:depthPercent val="100"/>
      <c:rAngAx val="0"/>
    </c:view3D>
    <c:floor>
      <c:thickness val="0"/>
      <c:spPr>
        <a:noFill/>
        <a:effectLst/>
      </c:spPr>
    </c:floor>
    <c:sideWall>
      <c:thickness val="0"/>
      <c:spPr>
        <a:noFill/>
        <a:effectLst/>
      </c:spPr>
    </c:sideWall>
    <c:backWall>
      <c:thickness val="0"/>
      <c:spPr>
        <a:noFill/>
        <a:effectLst/>
      </c:spPr>
    </c:backWall>
    <c:plotArea>
      <c:layout/>
      <c:pie3DChart>
        <c:varyColors val="1"/>
        <c:ser>
          <c:idx val="0"/>
          <c:order val="0"/>
          <c:spPr>
            <a:ln w="22225">
              <a:solidFill>
                <a:schemeClr val="bg1"/>
              </a:solidFill>
            </a:ln>
            <a:scene3d>
              <a:camera prst="orthographicFront"/>
              <a:lightRig rig="threePt" dir="t"/>
            </a:scene3d>
            <a:sp3d contourW="22225"/>
          </c:spPr>
          <c:explosion val="0"/>
          <c:dPt>
            <c:idx val="0"/>
            <c:bubble3D val="0"/>
            <c:spPr>
              <a:gradFill>
                <a:gsLst>
                  <a:gs pos="100000">
                    <a:schemeClr val="accent1"/>
                  </a:gs>
                  <a:gs pos="0">
                    <a:schemeClr val="accent1">
                      <a:hueOff val="-1670000"/>
                    </a:schemeClr>
                  </a:gs>
                </a:gsLst>
                <a:lin ang="5400000" scaled="0"/>
              </a:gradFill>
              <a:ln w="22225">
                <a:solidFill>
                  <a:schemeClr val="bg1"/>
                </a:solidFill>
              </a:ln>
              <a:effectLst/>
              <a:scene3d>
                <a:camera prst="orthographicFront"/>
                <a:lightRig rig="threePt" dir="t"/>
              </a:scene3d>
              <a:sp3d contourW="22225"/>
            </c:spPr>
          </c:dPt>
          <c:dPt>
            <c:idx val="1"/>
            <c:bubble3D val="0"/>
            <c:spPr>
              <a:gradFill>
                <a:gsLst>
                  <a:gs pos="50000">
                    <a:schemeClr val="accent2"/>
                  </a:gs>
                  <a:gs pos="0">
                    <a:schemeClr val="accent2">
                      <a:lumMod val="25000"/>
                      <a:lumOff val="75000"/>
                    </a:schemeClr>
                  </a:gs>
                  <a:gs pos="100000">
                    <a:schemeClr val="accent2">
                      <a:lumMod val="85000"/>
                    </a:schemeClr>
                  </a:gs>
                </a:gsLst>
                <a:lin ang="5400000" scaled="1"/>
              </a:gradFill>
              <a:ln w="22225">
                <a:solidFill>
                  <a:schemeClr val="bg1"/>
                </a:solidFill>
              </a:ln>
              <a:effectLst/>
              <a:scene3d>
                <a:camera prst="orthographicFront"/>
                <a:lightRig rig="threePt" dir="t"/>
              </a:scene3d>
              <a:sp3d contourW="22225"/>
            </c:spPr>
          </c:dPt>
          <c:dLbls>
            <c:dLbl>
              <c:idx val="0"/>
              <c:layout/>
              <c:dLblPos val="inEnd"/>
              <c:showLegendKey val="0"/>
              <c:showVal val="0"/>
              <c:showCatName val="0"/>
              <c:showSerName val="0"/>
              <c:showPercent val="1"/>
              <c:showBubbleSize val="0"/>
              <c:extLst>
                <c:ext xmlns:c15="http://schemas.microsoft.com/office/drawing/2012/chart" uri="{CE6537A1-D6FC-4f65-9D91-7224C49458BB}"/>
              </c:extLst>
            </c:dLbl>
            <c:dLbl>
              <c:idx val="1"/>
              <c:layout>
                <c:manualLayout>
                  <c:x val="0.0414611364400294"/>
                  <c:y val="0.0152605832919989"/>
                </c:manualLayout>
              </c:layout>
              <c:tx>
                <c:rich>
                  <a:bodyPr rot="0" spcFirstLastPara="0" vertOverflow="ellipsis" vert="horz" wrap="square" lIns="38100" tIns="19050" rIns="38100" bIns="19050" anchor="ctr" anchorCtr="1" forceAA="0"/>
                  <a:lstStyle/>
                  <a:p>
                    <a:pPr defTabSz="914400">
                      <a:defRPr lang="zh-CN" sz="1000" b="0" i="0" u="none" strike="noStrike" kern="1200" baseline="0">
                        <a:solidFill>
                          <a:schemeClr val="bg1"/>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r>
                      <a:rPr>
                        <a:solidFill>
                          <a:sysClr val="windowText" lastClr="000000"/>
                        </a:solidFill>
                      </a:rPr>
                      <a:t>0%</a:t>
                    </a:r>
                    <a:endParaRPr>
                      <a:solidFill>
                        <a:sysClr val="windowText" lastClr="000000"/>
                      </a:solidFill>
                    </a:endParaRPr>
                  </a:p>
                </c:rich>
              </c:tx>
              <c:dLblPos val="bestFit"/>
              <c:showLegendKey val="0"/>
              <c:showVal val="0"/>
              <c:showCatName val="0"/>
              <c:showSerName val="0"/>
              <c:showPercent val="1"/>
              <c:showBubbleSize val="0"/>
              <c:separator>
</c:separator>
              <c:extLst>
                <c:ext xmlns:c15="http://schemas.microsoft.com/office/drawing/2012/chart" uri="{CE6537A1-D6FC-4f65-9D91-7224C49458BB}">
                  <c15:layout/>
                </c:ext>
              </c:extLst>
            </c:dLbl>
            <c:numFmt formatCode="General" sourceLinked="1"/>
            <c:spPr>
              <a:noFill/>
              <a:ln>
                <a:noFill/>
              </a:ln>
              <a:effectLst/>
            </c:spPr>
            <c:txPr>
              <a:bodyPr rot="0" spcFirstLastPara="0" vertOverflow="ellipsis" vert="horz" wrap="square" lIns="38100" tIns="19050" rIns="38100" bIns="19050" anchor="ctr" anchorCtr="1" forceAA="0"/>
              <a:lstStyle/>
              <a:p>
                <a:pPr>
                  <a:defRPr lang="zh-CN" sz="1000" b="0" i="0" u="none" strike="noStrike" kern="1200" baseline="0">
                    <a:solidFill>
                      <a:schemeClr val="bg1"/>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p>
            </c:txPr>
            <c:dLblPos val="inEnd"/>
            <c:showLegendKey val="0"/>
            <c:showVal val="0"/>
            <c:showCatName val="0"/>
            <c:showSerName val="0"/>
            <c:showPercent val="1"/>
            <c:showBubbleSize val="0"/>
            <c:separator>
</c:separator>
            <c:showLeaderLines val="0"/>
            <c:extLst>
              <c:ext xmlns:c15="http://schemas.microsoft.com/office/drawing/2012/chart" uri="{CE6537A1-D6FC-4f65-9D91-7224C49458BB}">
                <c15:layout/>
                <c15:showLeaderLines val="0"/>
                <c15:leaderLines>
                  <c:spPr>
                    <a:ln w="9525">
                      <a:solidFill>
                        <a:schemeClr val="dk1">
                          <a:lumMod val="35000"/>
                          <a:lumOff val="65000"/>
                        </a:schemeClr>
                      </a:solidFill>
                    </a:ln>
                    <a:effectLst/>
                  </c:spPr>
                </c15:leaderLines>
              </c:ext>
            </c:extLst>
          </c:dLbls>
          <c:cat>
            <c:strRef>
              <c:f>'[503001-攀枝花市社会保险事务中心-附表.xls]Sheet1'!$A$5:$A$6</c:f>
              <c:strCache>
                <c:ptCount val="2"/>
                <c:pt idx="0">
                  <c:v>一般公共预算财政拨款收入</c:v>
                </c:pt>
                <c:pt idx="1">
                  <c:v>其他收入</c:v>
                </c:pt>
              </c:strCache>
            </c:strRef>
          </c:cat>
          <c:val>
            <c:numRef>
              <c:f>'[503001-攀枝花市社会保险事务中心-附表.xls]Sheet1'!$B$5:$B$6</c:f>
              <c:numCache>
                <c:formatCode>General</c:formatCode>
                <c:ptCount val="2"/>
                <c:pt idx="0">
                  <c:v>1555.86</c:v>
                </c:pt>
                <c:pt idx="1">
                  <c:v>0.05</c:v>
                </c:pt>
              </c:numCache>
            </c:numRef>
          </c:val>
        </c:ser>
        <c:dLbls>
          <c:showLegendKey val="0"/>
          <c:showVal val="1"/>
          <c:showCatName val="0"/>
          <c:showSerName val="0"/>
          <c:showPercent val="0"/>
          <c:showBubbleSize val="0"/>
        </c:dLbls>
      </c:pie3DChart>
      <c:spPr>
        <a:noFill/>
        <a:ln>
          <a:noFill/>
        </a:ln>
        <a:effectLst/>
      </c:spPr>
    </c:plotArea>
    <c:legend>
      <c:legendPos val="r"/>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75000"/>
                  <a:lumOff val="25000"/>
                </a:schemeClr>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p>
      </c:txPr>
    </c:legend>
    <c:plotVisOnly val="1"/>
    <c:dispBlanksAs val="gap"/>
    <c:showDLblsOverMax val="0"/>
    <c:extLst>
      <c:ext uri="{0b15fc19-7d7d-44ad-8c2d-2c3a37ce22c3}">
        <chartProps xmlns="https://web.wps.cn/et/2018/main" chartId="{41753835-96e6-4f4f-a21a-c6985e26b301}"/>
      </c:ext>
    </c:extLst>
  </c:chart>
  <c:spPr>
    <a:solidFill>
      <a:schemeClr val="bg1"/>
    </a:solidFill>
    <a:ln w="6350" cap="flat" cmpd="sng" algn="ctr">
      <a:solidFill>
        <a:schemeClr val="tx1">
          <a:lumMod val="50000"/>
          <a:lumOff val="50000"/>
          <a:alpha val="25000"/>
        </a:schemeClr>
      </a:solidFill>
      <a:round/>
    </a:ln>
    <a:effectLst/>
  </c:spPr>
  <c:txPr>
    <a:bodyPr/>
    <a:lstStyle/>
    <a:p>
      <a:pPr>
        <a:defRPr lang="zh-CN">
          <a:solidFill>
            <a:schemeClr val="tx1">
              <a:lumMod val="75000"/>
              <a:lumOff val="25000"/>
            </a:schemeClr>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0" vertOverflow="ellipsis" vert="horz" wrap="square" anchor="ctr" anchorCtr="1" forceAA="0"/>
          <a:lstStyle/>
          <a:p>
            <a:pPr>
              <a:defRPr lang="zh-CN" sz="1400" b="0" i="0" u="none" strike="noStrike" kern="1200" cap="all" baseline="0">
                <a:solidFill>
                  <a:schemeClr val="tx1">
                    <a:lumMod val="75000"/>
                    <a:lumOff val="25000"/>
                  </a:schemeClr>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r>
              <a:t>支出决算结构图</a:t>
            </a:r>
          </a:p>
        </c:rich>
      </c:tx>
      <c:layout/>
      <c:overlay val="0"/>
      <c:spPr>
        <a:noFill/>
        <a:ln>
          <a:noFill/>
        </a:ln>
        <a:effectLst/>
      </c:spPr>
    </c:title>
    <c:autoTitleDeleted val="0"/>
    <c:view3D>
      <c:rotX val="30"/>
      <c:rotY val="0"/>
      <c:depthPercent val="100"/>
      <c:rAngAx val="0"/>
    </c:view3D>
    <c:floor>
      <c:thickness val="0"/>
    </c:floor>
    <c:sideWall>
      <c:thickness val="0"/>
    </c:sideWall>
    <c:backWall>
      <c:thickness val="0"/>
    </c:backWall>
    <c:plotArea>
      <c:layout/>
      <c:pie3DChart>
        <c:varyColors val="1"/>
        <c:ser>
          <c:idx val="0"/>
          <c:order val="0"/>
          <c:spPr>
            <a:solidFill>
              <a:schemeClr val="accent1">
                <a:alpha val="90000"/>
              </a:schemeClr>
            </a:solidFill>
            <a:ln w="19050">
              <a:solidFill>
                <a:schemeClr val="accent1">
                  <a:lumMod val="75000"/>
                </a:schemeClr>
              </a:solidFill>
            </a:ln>
            <a:scene3d>
              <a:camera prst="orthographicFront"/>
              <a:lightRig rig="threePt" dir="t"/>
            </a:scene3d>
            <a:sp3d contourW="19050"/>
          </c:spPr>
          <c:explosion val="0"/>
          <c:dPt>
            <c:idx val="0"/>
            <c:bubble3D val="0"/>
            <c:spPr>
              <a:solidFill>
                <a:schemeClr val="accent1">
                  <a:alpha val="90000"/>
                </a:schemeClr>
              </a:solidFill>
              <a:ln w="19050">
                <a:solidFill>
                  <a:schemeClr val="accent1">
                    <a:lumMod val="75000"/>
                  </a:schemeClr>
                </a:solidFill>
              </a:ln>
              <a:effectLst>
                <a:innerShdw blurRad="114300">
                  <a:schemeClr val="accent1">
                    <a:lumMod val="75000"/>
                  </a:schemeClr>
                </a:innerShdw>
              </a:effectLst>
              <a:scene3d>
                <a:camera prst="orthographicFront"/>
                <a:lightRig rig="threePt" dir="t"/>
              </a:scene3d>
              <a:sp3d contourW="19050"/>
            </c:spPr>
          </c:dPt>
          <c:dPt>
            <c:idx val="1"/>
            <c:bubble3D val="0"/>
            <c:spPr>
              <a:solidFill>
                <a:schemeClr val="accent2">
                  <a:alpha val="90000"/>
                </a:schemeClr>
              </a:solidFill>
              <a:ln w="19050">
                <a:solidFill>
                  <a:schemeClr val="accent2">
                    <a:lumMod val="75000"/>
                  </a:schemeClr>
                </a:solidFill>
              </a:ln>
              <a:effectLst>
                <a:innerShdw blurRad="114300">
                  <a:schemeClr val="accent2">
                    <a:lumMod val="75000"/>
                  </a:schemeClr>
                </a:innerShdw>
              </a:effectLst>
              <a:scene3d>
                <a:camera prst="orthographicFront"/>
                <a:lightRig rig="threePt" dir="t"/>
              </a:scene3d>
              <a:sp3d contourW="19050"/>
            </c:spPr>
          </c:dPt>
          <c:dLbls>
            <c:dLbl>
              <c:idx val="0"/>
              <c:layout/>
              <c:numFmt formatCode="General" sourceLinked="1"/>
              <c:spPr>
                <a:solidFill>
                  <a:schemeClr val="bg1"/>
                </a:solidFill>
                <a:ln>
                  <a:solidFill>
                    <a:schemeClr val="accent1"/>
                  </a:solidFill>
                </a:ln>
                <a:effectLst>
                  <a:outerShdw blurRad="50800" dist="25400" dir="2700000" algn="ctr" rotWithShape="0">
                    <a:srgbClr val="000000">
                      <a:alpha val="40000"/>
                    </a:srgbClr>
                  </a:outerShdw>
                </a:effectLst>
              </c:spPr>
              <c:txPr>
                <a:bodyPr rot="0" spcFirstLastPara="0" vertOverflow="ellipsis" vert="horz" wrap="square" lIns="38100" tIns="19050" rIns="38100" bIns="19050" anchor="ctr" anchorCtr="1" forceAA="0"/>
                <a:lstStyle/>
                <a:p>
                  <a:pPr>
                    <a:defRPr lang="zh-CN" sz="1000" b="1" i="0" u="none" strike="noStrike" kern="1200" baseline="0">
                      <a:solidFill>
                        <a:schemeClr val="accent1"/>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p>
              </c:txPr>
              <c:dLblPos val="inEnd"/>
              <c:showLegendKey val="0"/>
              <c:showVal val="0"/>
              <c:showCatName val="0"/>
              <c:showSerName val="0"/>
              <c:showPercent val="1"/>
              <c:showBubbleSize val="0"/>
              <c:separator>
</c:separator>
              <c:extLst>
                <c:ext xmlns:c15="http://schemas.microsoft.com/office/drawing/2012/chart" uri="{CE6537A1-D6FC-4f65-9D91-7224C49458BB}"/>
              </c:extLst>
            </c:dLbl>
            <c:dLbl>
              <c:idx val="1"/>
              <c:layout/>
              <c:numFmt formatCode="General" sourceLinked="1"/>
              <c:spPr>
                <a:solidFill>
                  <a:schemeClr val="bg1"/>
                </a:solidFill>
                <a:ln>
                  <a:solidFill>
                    <a:schemeClr val="accent2"/>
                  </a:solidFill>
                </a:ln>
                <a:effectLst>
                  <a:outerShdw blurRad="50800" dist="25400" dir="2700000" algn="ctr" rotWithShape="0">
                    <a:srgbClr val="000000">
                      <a:alpha val="40000"/>
                    </a:srgbClr>
                  </a:outerShdw>
                </a:effectLst>
              </c:spPr>
              <c:txPr>
                <a:bodyPr rot="0" spcFirstLastPara="0" vertOverflow="ellipsis" vert="horz" wrap="square" lIns="38100" tIns="19050" rIns="38100" bIns="19050" anchor="ctr" anchorCtr="1" forceAA="0"/>
                <a:lstStyle/>
                <a:p>
                  <a:pPr>
                    <a:defRPr lang="zh-CN" sz="1000" b="1" i="0" u="none" strike="noStrike" kern="1200" baseline="0">
                      <a:solidFill>
                        <a:schemeClr val="accent2"/>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p>
              </c:txPr>
              <c:dLblPos val="inEnd"/>
              <c:showLegendKey val="0"/>
              <c:showVal val="0"/>
              <c:showCatName val="0"/>
              <c:showSerName val="0"/>
              <c:showPercent val="1"/>
              <c:showBubbleSize val="0"/>
              <c:separator>
</c:separator>
              <c:extLst>
                <c:ext xmlns:c15="http://schemas.microsoft.com/office/drawing/2012/chart" uri="{CE6537A1-D6FC-4f65-9D91-7224C49458BB}"/>
              </c:extLst>
            </c:dLbl>
            <c:numFmt formatCode="General" sourceLinked="1"/>
            <c:spPr>
              <a:solidFill>
                <a:schemeClr val="bg1"/>
              </a:solidFill>
              <a:ln>
                <a:solidFill>
                  <a:schemeClr val="accent1">
                    <a:lumMod val="75000"/>
                  </a:schemeClr>
                </a:solidFill>
              </a:ln>
              <a:effectLst>
                <a:outerShdw blurRad="50800" dist="25400" dir="2700000" algn="ctr" rotWithShape="0">
                  <a:srgbClr val="000000">
                    <a:alpha val="40000"/>
                  </a:srgbClr>
                </a:outerShdw>
              </a:effectLst>
            </c:spPr>
            <c:txPr>
              <a:bodyPr rot="0" spcFirstLastPara="0" vertOverflow="ellipsis" vert="horz" wrap="square" lIns="38100" tIns="19050" rIns="38100" bIns="19050" anchor="ctr" anchorCtr="1" forceAA="0"/>
              <a:lstStyle/>
              <a:p>
                <a:pPr>
                  <a:defRPr lang="zh-CN" sz="1000" b="1" i="0" u="none" strike="noStrike" kern="1200" baseline="0">
                    <a:solidFill>
                      <a:schemeClr val="accent1"/>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p>
            </c:txPr>
            <c:dLblPos val="inEnd"/>
            <c:showLegendKey val="0"/>
            <c:showVal val="0"/>
            <c:showCatName val="0"/>
            <c:showSerName val="0"/>
            <c:showPercent val="1"/>
            <c:showBubbleSize val="0"/>
            <c:separator>
</c:separator>
            <c:showLeaderLines val="0"/>
            <c:extLst>
              <c:ext xmlns:c15="http://schemas.microsoft.com/office/drawing/2012/chart" uri="{CE6537A1-D6FC-4f65-9D91-7224C49458BB}">
                <c15:layout/>
                <c15:showLeaderLines val="0"/>
                <c15:leaderLines/>
              </c:ext>
            </c:extLst>
          </c:dLbls>
          <c:cat>
            <c:strRef>
              <c:f>'[503001-攀枝花市社会保险事务中心-附表.xls]Sheet1'!$A$8:$A$9</c:f>
              <c:strCache>
                <c:ptCount val="2"/>
                <c:pt idx="0">
                  <c:v>基本支出</c:v>
                </c:pt>
                <c:pt idx="1">
                  <c:v>项目支出</c:v>
                </c:pt>
              </c:strCache>
            </c:strRef>
          </c:cat>
          <c:val>
            <c:numRef>
              <c:f>'[503001-攀枝花市社会保险事务中心-附表.xls]Sheet1'!$B$8:$B$9</c:f>
              <c:numCache>
                <c:formatCode>General</c:formatCode>
                <c:ptCount val="2"/>
                <c:pt idx="0">
                  <c:v>1377.77</c:v>
                </c:pt>
                <c:pt idx="1">
                  <c:v>104.28</c:v>
                </c:pt>
              </c:numCache>
            </c:numRef>
          </c:val>
        </c:ser>
        <c:dLbls>
          <c:showLegendKey val="0"/>
          <c:showVal val="1"/>
          <c:showCatName val="0"/>
          <c:showSerName val="0"/>
          <c:showPercent val="0"/>
          <c:showBubbleSize val="0"/>
        </c:dLbls>
      </c:pie3DChart>
      <c:spPr>
        <a:noFill/>
        <a:ln>
          <a:noFill/>
        </a:ln>
        <a:effectLst/>
      </c:spPr>
    </c:plotArea>
    <c:legend>
      <c:legendPos val="r"/>
      <c:layout/>
      <c:overlay val="0"/>
      <c:txPr>
        <a:bodyPr rot="0" spcFirstLastPara="0" vertOverflow="ellipsis" vert="horz" wrap="square" anchor="ctr" anchorCtr="1"/>
        <a:lstStyle/>
        <a:p>
          <a:pPr>
            <a:defRPr lang="zh-CN" sz="1000" b="0" i="0" u="none" strike="noStrike" kern="1200" baseline="0">
              <a:solidFill>
                <a:schemeClr val="tx1">
                  <a:lumMod val="75000"/>
                  <a:lumOff val="25000"/>
                </a:schemeClr>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p>
      </c:txPr>
    </c:legend>
    <c:plotVisOnly val="1"/>
    <c:dispBlanksAs val="gap"/>
    <c:showDLblsOverMax val="0"/>
    <c:extLst>
      <c:ext uri="{0b15fc19-7d7d-44ad-8c2d-2c3a37ce22c3}">
        <chartProps xmlns="https://web.wps.cn/et/2018/main" chartId="{e98bd6ee-55b2-42eb-a91a-b0405be58be9}"/>
      </c:ext>
    </c:extLst>
  </c:chart>
  <c:spPr>
    <a:solidFill>
      <a:schemeClr val="bg1"/>
    </a:solidFill>
    <a:ln w="6350" cap="flat" cmpd="sng" algn="ctr">
      <a:solidFill>
        <a:schemeClr val="tx1">
          <a:lumMod val="50000"/>
          <a:lumOff val="50000"/>
          <a:alpha val="25000"/>
        </a:schemeClr>
      </a:solidFill>
      <a:prstDash val="solid"/>
      <a:round/>
    </a:ln>
    <a:effectLst/>
  </c:spPr>
  <c:txPr>
    <a:bodyPr/>
    <a:lstStyle/>
    <a:p>
      <a:pPr>
        <a:defRPr lang="zh-CN">
          <a:solidFill>
            <a:schemeClr val="tx1">
              <a:lumMod val="75000"/>
              <a:lumOff val="25000"/>
            </a:schemeClr>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0" vertOverflow="ellipsis" vert="horz" wrap="square" anchor="ctr" anchorCtr="1" forceAA="0"/>
          <a:lstStyle/>
          <a:p>
            <a:pPr>
              <a:defRPr lang="zh-CN" sz="1400" b="0" i="0" u="none" strike="noStrike" kern="1200" spc="0" baseline="0">
                <a:solidFill>
                  <a:schemeClr val="tx1">
                    <a:lumMod val="65000"/>
                    <a:lumOff val="35000"/>
                  </a:schemeClr>
                </a:solidFill>
                <a:latin typeface="+mn-lt"/>
                <a:ea typeface="+mn-ea"/>
                <a:cs typeface="+mn-cs"/>
              </a:defRPr>
            </a:pPr>
            <a:r>
              <a:t>财政拨款收、支决算总计变动情况</a:t>
            </a:r>
          </a:p>
        </c:rich>
      </c:tx>
      <c:layout/>
      <c:overlay val="0"/>
      <c:spPr>
        <a:noFill/>
        <a:ln>
          <a:noFill/>
        </a:ln>
        <a:effectLst/>
      </c:spPr>
    </c:title>
    <c:autoTitleDeleted val="0"/>
    <c:plotArea>
      <c:layout/>
      <c:barChart>
        <c:barDir val="col"/>
        <c:grouping val="clustered"/>
        <c:varyColors val="0"/>
        <c:ser>
          <c:idx val="0"/>
          <c:order val="0"/>
          <c:spPr>
            <a:solidFill>
              <a:schemeClr val="accent1"/>
            </a:solidFill>
            <a:ln>
              <a:noFill/>
            </a:ln>
            <a:effectLst/>
          </c:spPr>
          <c:invertIfNegative val="0"/>
          <c:dLbls>
            <c:dLbl>
              <c:idx val="0"/>
              <c:layout>
                <c:manualLayout>
                  <c:x val="0.00197368421052632"/>
                  <c:y val="-0.09375"/>
                </c:manualLayout>
              </c:layout>
              <c:dLblPos val="inEnd"/>
              <c:showLegendKey val="0"/>
              <c:showVal val="1"/>
              <c:showCatName val="0"/>
              <c:showSerName val="0"/>
              <c:showPercent val="0"/>
              <c:showBubbleSize val="0"/>
              <c:extLst>
                <c:ext xmlns:c15="http://schemas.microsoft.com/office/drawing/2012/chart" uri="{CE6537A1-D6FC-4f65-9D91-7224C49458BB}">
                  <c15:layout/>
                </c:ext>
              </c:extLst>
            </c:dLbl>
            <c:dLbl>
              <c:idx val="1"/>
              <c:layout>
                <c:manualLayout>
                  <c:x val="0"/>
                  <c:y val="-0.09375"/>
                </c:manualLayout>
              </c:layout>
              <c:dLblPos val="inEnd"/>
              <c:showLegendKey val="0"/>
              <c:showVal val="1"/>
              <c:showCatName val="0"/>
              <c:showSerName val="0"/>
              <c:showPercent val="0"/>
              <c:showBubbleSize val="0"/>
              <c:extLst>
                <c:ext xmlns:c15="http://schemas.microsoft.com/office/drawing/2012/chart" uri="{CE6537A1-D6FC-4f65-9D91-7224C49458BB}">
                  <c15:layout/>
                </c:ext>
              </c:extLst>
            </c:dLbl>
            <c:numFmt formatCode="General" sourceLinked="1"/>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in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'[503001-攀枝花市社会保险事务中心-附表.xls]Sheet1'!$A$11:$A$12</c:f>
              <c:strCache>
                <c:ptCount val="2"/>
                <c:pt idx="0">
                  <c:v>2023年</c:v>
                </c:pt>
                <c:pt idx="1">
                  <c:v>2024年</c:v>
                </c:pt>
              </c:strCache>
            </c:strRef>
          </c:cat>
          <c:val>
            <c:numRef>
              <c:f>'[503001-攀枝花市社会保险事务中心-附表.xls]Sheet1'!$B$11:$B$12</c:f>
              <c:numCache>
                <c:formatCode>General</c:formatCode>
                <c:ptCount val="2"/>
                <c:pt idx="0">
                  <c:v>1555.86</c:v>
                </c:pt>
                <c:pt idx="1">
                  <c:v>1482.02</c:v>
                </c:pt>
              </c:numCache>
            </c:numRef>
          </c:val>
        </c:ser>
        <c:dLbls>
          <c:showLegendKey val="0"/>
          <c:showVal val="1"/>
          <c:showCatName val="0"/>
          <c:showSerName val="0"/>
          <c:showPercent val="0"/>
          <c:showBubbleSize val="0"/>
        </c:dLbls>
        <c:gapWidth val="75"/>
        <c:overlap val="40"/>
        <c:axId val="738248828"/>
        <c:axId val="379553109"/>
      </c:barChart>
      <c:catAx>
        <c:axId val="738248828"/>
        <c:scaling>
          <c:orientation val="minMax"/>
        </c:scaling>
        <c:delete val="0"/>
        <c:axPos val="b"/>
        <c:numFmt formatCode="General" sourceLinked="1"/>
        <c:majorTickMark val="none"/>
        <c:minorTickMark val="none"/>
        <c:tickLblPos val="nextTo"/>
        <c:spPr>
          <a:noFill/>
          <a:ln w="9525" cap="flat" cmpd="sng" algn="ctr">
            <a:noFill/>
            <a:round/>
          </a:ln>
          <a:effectLst/>
        </c:spPr>
        <c:txPr>
          <a:bodyPr rot="-60000000" spcFirstLastPara="0" vertOverflow="ellipsis" vert="horz" wrap="square" anchor="ctr" anchorCtr="1" forceAA="0"/>
          <a:lstStyle/>
          <a:p>
            <a:pPr>
              <a:defRPr lang="zh-CN" sz="900" b="0" i="0" u="none" strike="noStrike" kern="1200" baseline="0">
                <a:solidFill>
                  <a:schemeClr val="tx1">
                    <a:lumMod val="65000"/>
                    <a:lumOff val="35000"/>
                  </a:schemeClr>
                </a:solidFill>
                <a:latin typeface="+mn-lt"/>
                <a:ea typeface="+mn-ea"/>
                <a:cs typeface="+mn-cs"/>
              </a:defRPr>
            </a:pPr>
          </a:p>
        </c:txPr>
        <c:crossAx val="379553109"/>
        <c:crosses val="autoZero"/>
        <c:auto val="1"/>
        <c:lblAlgn val="ctr"/>
        <c:lblOffset val="100"/>
        <c:noMultiLvlLbl val="0"/>
      </c:catAx>
      <c:valAx>
        <c:axId val="379553109"/>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forceAA="0"/>
          <a:lstStyle/>
          <a:p>
            <a:pPr>
              <a:defRPr lang="zh-CN" sz="900" b="0" i="0" u="none" strike="noStrike" kern="1200" baseline="0">
                <a:solidFill>
                  <a:schemeClr val="tx1">
                    <a:lumMod val="65000"/>
                    <a:lumOff val="35000"/>
                  </a:schemeClr>
                </a:solidFill>
                <a:latin typeface="+mn-lt"/>
                <a:ea typeface="+mn-ea"/>
                <a:cs typeface="+mn-cs"/>
              </a:defRPr>
            </a:pPr>
          </a:p>
        </c:txPr>
        <c:crossAx val="738248828"/>
        <c:crosses val="autoZero"/>
        <c:crossBetween val="between"/>
      </c:valAx>
      <c:spPr>
        <a:noFill/>
        <a:ln>
          <a:noFill/>
        </a:ln>
        <a:effectLst/>
      </c:spPr>
    </c:plotArea>
    <c:plotVisOnly val="1"/>
    <c:dispBlanksAs val="gap"/>
    <c:showDLblsOverMax val="0"/>
    <c:extLst>
      <c:ext uri="{0b15fc19-7d7d-44ad-8c2d-2c3a37ce22c3}">
        <chartProps xmlns="https://web.wps.cn/et/2018/main" chartId="{fec92e4b-d2bd-420e-8a82-b9c69ed875a8}"/>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0" vertOverflow="ellipsis" vert="horz" wrap="square" anchor="ctr" anchorCtr="1" forceAA="0"/>
          <a:lstStyle/>
          <a:p>
            <a:pPr>
              <a:defRPr lang="zh-CN" sz="1400" b="0" i="0" u="none" strike="noStrike" kern="1200" spc="0" baseline="0">
                <a:solidFill>
                  <a:schemeClr val="tx1">
                    <a:lumMod val="75000"/>
                    <a:lumOff val="25000"/>
                  </a:schemeClr>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r>
              <a:t>一般公共预算财政拨款支出决算变动情况</a:t>
            </a:r>
          </a:p>
        </c:rich>
      </c:tx>
      <c:layout/>
      <c:overlay val="0"/>
      <c:spPr>
        <a:noFill/>
        <a:ln>
          <a:noFill/>
        </a:ln>
        <a:effectLst/>
      </c:spPr>
    </c:title>
    <c:autoTitleDeleted val="0"/>
    <c:plotArea>
      <c:layout/>
      <c:barChart>
        <c:barDir val="col"/>
        <c:grouping val="clustered"/>
        <c:varyColors val="0"/>
        <c:ser>
          <c:idx val="0"/>
          <c:order val="0"/>
          <c:spPr>
            <a:blipFill rotWithShape="1">
              <a:blip xmlns:r="http://schemas.openxmlformats.org/officeDocument/2006/relationships" r:embed="rId3">
                <a:duotone>
                  <a:schemeClr val="accent1"/>
                  <a:prstClr val="white"/>
                </a:duotone>
              </a:blip>
              <a:stretch>
                <a:fillRect/>
              </a:stretch>
            </a:blipFill>
            <a:ln>
              <a:noFill/>
            </a:ln>
            <a:effectLst>
              <a:outerShdw blurRad="76200" dir="18900000" sy="23000" kx="-1200000" algn="bl" rotWithShape="0">
                <a:prstClr val="black">
                  <a:alpha val="20000"/>
                </a:prstClr>
              </a:outerShdw>
            </a:effectLst>
          </c:spPr>
          <c:invertIfNegative val="0"/>
          <c:dLbls>
            <c:numFmt formatCode="General" sourceLinked="1"/>
            <c:spPr>
              <a:noFill/>
              <a:ln>
                <a:noFill/>
              </a:ln>
              <a:effectLst/>
            </c:spPr>
            <c:txPr>
              <a:bodyPr rot="0" spcFirstLastPara="0" vertOverflow="ellipsis" vert="horz" wrap="square" lIns="38100" tIns="19050" rIns="38100" bIns="19050" anchor="ctr" anchorCtr="1" forceAA="0"/>
              <a:lstStyle/>
              <a:p>
                <a:pPr>
                  <a:defRPr lang="zh-CN" sz="900" b="0" i="0" u="none" strike="noStrike" kern="1200" baseline="0">
                    <a:solidFill>
                      <a:schemeClr val="tx1">
                        <a:lumMod val="75000"/>
                        <a:lumOff val="25000"/>
                      </a:schemeClr>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p>
            </c:txPr>
            <c:dLblPos val="in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'[503001-攀枝花市社会保险事务中心-附表.xls]Sheet1'!$A$11:$A$12</c:f>
              <c:strCache>
                <c:ptCount val="2"/>
                <c:pt idx="0">
                  <c:v>2023年</c:v>
                </c:pt>
                <c:pt idx="1">
                  <c:v>2024年</c:v>
                </c:pt>
              </c:strCache>
            </c:strRef>
          </c:cat>
          <c:val>
            <c:numRef>
              <c:f>'[503001-攀枝花市社会保险事务中心-附表.xls]Sheet1'!$B$11:$B$12</c:f>
              <c:numCache>
                <c:formatCode>General</c:formatCode>
                <c:ptCount val="2"/>
                <c:pt idx="0">
                  <c:v>1555.86</c:v>
                </c:pt>
                <c:pt idx="1">
                  <c:v>1482.02</c:v>
                </c:pt>
              </c:numCache>
            </c:numRef>
          </c:val>
        </c:ser>
        <c:dLbls>
          <c:showLegendKey val="0"/>
          <c:showVal val="1"/>
          <c:showCatName val="0"/>
          <c:showSerName val="0"/>
          <c:showPercent val="0"/>
          <c:showBubbleSize val="0"/>
        </c:dLbls>
        <c:gapWidth val="75"/>
        <c:overlap val="40"/>
        <c:axId val="738248828"/>
        <c:axId val="379553109"/>
      </c:barChart>
      <c:catAx>
        <c:axId val="738248828"/>
        <c:scaling>
          <c:orientation val="minMax"/>
        </c:scaling>
        <c:delete val="0"/>
        <c:axPos val="b"/>
        <c:numFmt formatCode="General" sourceLinked="1"/>
        <c:majorTickMark val="none"/>
        <c:minorTickMark val="none"/>
        <c:tickLblPos val="nextTo"/>
        <c:spPr>
          <a:noFill/>
          <a:ln w="6350" cap="flat" cmpd="sng" algn="ctr">
            <a:solidFill>
              <a:schemeClr val="tx1">
                <a:lumMod val="50000"/>
                <a:lumOff val="50000"/>
                <a:alpha val="25000"/>
              </a:schemeClr>
            </a:solidFill>
            <a:round/>
          </a:ln>
          <a:effectLst/>
        </c:spPr>
        <c:txPr>
          <a:bodyPr rot="-60000000" spcFirstLastPara="0" vertOverflow="ellipsis" vert="horz" wrap="square" anchor="ctr" anchorCtr="1" forceAA="0"/>
          <a:lstStyle/>
          <a:p>
            <a:pPr>
              <a:defRPr lang="zh-CN" sz="900" b="0" i="0" u="none" strike="noStrike" kern="1200" baseline="0">
                <a:solidFill>
                  <a:schemeClr val="tx1">
                    <a:lumMod val="75000"/>
                    <a:lumOff val="25000"/>
                  </a:schemeClr>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p>
        </c:txPr>
        <c:crossAx val="379553109"/>
        <c:crosses val="autoZero"/>
        <c:auto val="1"/>
        <c:lblAlgn val="ctr"/>
        <c:lblOffset val="100"/>
        <c:noMultiLvlLbl val="0"/>
      </c:catAx>
      <c:valAx>
        <c:axId val="379553109"/>
        <c:scaling>
          <c:orientation val="minMax"/>
        </c:scaling>
        <c:delete val="0"/>
        <c:axPos val="l"/>
        <c:majorGridlines>
          <c:spPr>
            <a:ln w="6350" cap="flat" cmpd="sng" algn="ctr">
              <a:solidFill>
                <a:schemeClr val="tx1">
                  <a:lumMod val="50000"/>
                  <a:lumOff val="50000"/>
                  <a:alpha val="200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forceAA="0"/>
          <a:lstStyle/>
          <a:p>
            <a:pPr>
              <a:defRPr lang="zh-CN" sz="900" b="0" i="0" u="none" strike="noStrike" kern="1200" baseline="0">
                <a:solidFill>
                  <a:schemeClr val="tx1">
                    <a:lumMod val="75000"/>
                    <a:lumOff val="25000"/>
                  </a:schemeClr>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p>
        </c:txPr>
        <c:crossAx val="738248828"/>
        <c:crosses val="autoZero"/>
        <c:crossBetween val="between"/>
      </c:valAx>
      <c:spPr>
        <a:noFill/>
        <a:ln>
          <a:noFill/>
        </a:ln>
        <a:effectLst/>
      </c:spPr>
    </c:plotArea>
    <c:plotVisOnly val="1"/>
    <c:dispBlanksAs val="gap"/>
    <c:showDLblsOverMax val="0"/>
    <c:extLst>
      <c:ext uri="{0b15fc19-7d7d-44ad-8c2d-2c3a37ce22c3}">
        <chartProps xmlns="https://web.wps.cn/et/2018/main" chartId="{3853a78a-6e77-4964-9be2-14d7227c4790}"/>
      </c:ext>
    </c:extLst>
  </c:chart>
  <c:spPr>
    <a:solidFill>
      <a:schemeClr val="bg1"/>
    </a:solidFill>
    <a:ln w="6350" cap="flat" cmpd="sng" algn="ctr">
      <a:solidFill>
        <a:schemeClr val="tx1">
          <a:lumMod val="50000"/>
          <a:lumOff val="50000"/>
          <a:alpha val="15000"/>
        </a:schemeClr>
      </a:solidFill>
      <a:round/>
    </a:ln>
    <a:effectLst/>
  </c:spPr>
  <c:txPr>
    <a:bodyPr/>
    <a:lstStyle/>
    <a:p>
      <a:pPr>
        <a:defRPr lang="zh-CN">
          <a:solidFill>
            <a:schemeClr val="tx1">
              <a:lumMod val="75000"/>
              <a:lumOff val="25000"/>
            </a:schemeClr>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0" vertOverflow="ellipsis" vert="horz" wrap="square" anchor="ctr" anchorCtr="1" forceAA="0"/>
          <a:lstStyle/>
          <a:p>
            <a:pPr>
              <a:defRPr lang="zh-CN" sz="1400" b="0" i="0" u="none" strike="noStrike" kern="1200" spc="0" baseline="0">
                <a:solidFill>
                  <a:schemeClr val="tx1">
                    <a:lumMod val="75000"/>
                    <a:lumOff val="25000"/>
                  </a:schemeClr>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r>
              <a:t>一般公共预算财政拨款支出决算结构</a:t>
            </a:r>
          </a:p>
        </c:rich>
      </c:tx>
      <c:layout/>
      <c:overlay val="0"/>
      <c:spPr>
        <a:noFill/>
        <a:ln>
          <a:noFill/>
        </a:ln>
        <a:effectLst/>
      </c:spPr>
    </c:title>
    <c:autoTitleDeleted val="0"/>
    <c:view3D>
      <c:rotX val="30"/>
      <c:rotY val="0"/>
      <c:depthPercent val="100"/>
      <c:rAngAx val="0"/>
    </c:view3D>
    <c:floor>
      <c:thickness val="0"/>
      <c:spPr>
        <a:noFill/>
        <a:effectLst/>
      </c:spPr>
    </c:floor>
    <c:sideWall>
      <c:thickness val="0"/>
      <c:spPr>
        <a:noFill/>
        <a:effectLst/>
      </c:spPr>
    </c:sideWall>
    <c:backWall>
      <c:thickness val="0"/>
      <c:spPr>
        <a:noFill/>
        <a:effectLst/>
      </c:spPr>
    </c:backWall>
    <c:plotArea>
      <c:layout/>
      <c:pie3DChart>
        <c:varyColors val="1"/>
        <c:ser>
          <c:idx val="0"/>
          <c:order val="0"/>
          <c:spPr>
            <a:gradFill>
              <a:gsLst>
                <a:gs pos="0">
                  <a:schemeClr val="accent1">
                    <a:lumMod val="60000"/>
                    <a:lumOff val="40000"/>
                  </a:schemeClr>
                </a:gs>
                <a:gs pos="100000">
                  <a:schemeClr val="accent1">
                    <a:lumMod val="75000"/>
                  </a:schemeClr>
                </a:gs>
              </a:gsLst>
              <a:lin ang="5400000" scaled="0"/>
            </a:gradFill>
            <a:ln w="25400">
              <a:solidFill>
                <a:schemeClr val="accent1">
                  <a:lumMod val="75000"/>
                </a:schemeClr>
              </a:solidFill>
            </a:ln>
          </c:spPr>
          <c:explosion val="0"/>
          <c:dPt>
            <c:idx val="0"/>
            <c:bubble3D val="0"/>
            <c:spPr>
              <a:gradFill>
                <a:gsLst>
                  <a:gs pos="0">
                    <a:schemeClr val="accent1">
                      <a:lumMod val="60000"/>
                      <a:lumOff val="40000"/>
                    </a:schemeClr>
                  </a:gs>
                  <a:gs pos="100000">
                    <a:schemeClr val="accent1">
                      <a:lumMod val="75000"/>
                    </a:schemeClr>
                  </a:gs>
                </a:gsLst>
                <a:lin ang="5400000" scaled="0"/>
              </a:gradFill>
              <a:ln w="25400">
                <a:solidFill>
                  <a:schemeClr val="accent1">
                    <a:lumMod val="75000"/>
                  </a:schemeClr>
                </a:solidFill>
              </a:ln>
              <a:effectLst>
                <a:outerShdw blurRad="50800" dist="38100" dir="2700000" algn="tl" rotWithShape="0">
                  <a:schemeClr val="accent1">
                    <a:alpha val="40000"/>
                  </a:schemeClr>
                </a:outerShdw>
              </a:effectLst>
            </c:spPr>
          </c:dPt>
          <c:dPt>
            <c:idx val="1"/>
            <c:bubble3D val="0"/>
            <c:spPr>
              <a:gradFill>
                <a:gsLst>
                  <a:gs pos="0">
                    <a:schemeClr val="accent2">
                      <a:lumMod val="60000"/>
                      <a:lumOff val="40000"/>
                    </a:schemeClr>
                  </a:gs>
                  <a:gs pos="100000">
                    <a:schemeClr val="accent2">
                      <a:lumMod val="75000"/>
                    </a:schemeClr>
                  </a:gs>
                </a:gsLst>
                <a:lin ang="5400000" scaled="0"/>
              </a:gradFill>
              <a:ln w="25400">
                <a:solidFill>
                  <a:schemeClr val="accent2">
                    <a:lumMod val="75000"/>
                  </a:schemeClr>
                </a:solidFill>
              </a:ln>
              <a:effectLst>
                <a:outerShdw blurRad="50800" dist="38100" dir="2700000" algn="tl" rotWithShape="0">
                  <a:schemeClr val="accent2">
                    <a:alpha val="40000"/>
                  </a:schemeClr>
                </a:outerShdw>
              </a:effectLst>
            </c:spPr>
          </c:dPt>
          <c:dPt>
            <c:idx val="2"/>
            <c:bubble3D val="0"/>
            <c:spPr>
              <a:gradFill>
                <a:gsLst>
                  <a:gs pos="0">
                    <a:schemeClr val="accent3">
                      <a:lumMod val="60000"/>
                      <a:lumOff val="40000"/>
                    </a:schemeClr>
                  </a:gs>
                  <a:gs pos="100000">
                    <a:schemeClr val="accent3">
                      <a:lumMod val="75000"/>
                    </a:schemeClr>
                  </a:gs>
                </a:gsLst>
                <a:lin ang="5400000" scaled="0"/>
              </a:gradFill>
              <a:ln w="25400">
                <a:solidFill>
                  <a:schemeClr val="accent3">
                    <a:lumMod val="75000"/>
                  </a:schemeClr>
                </a:solidFill>
              </a:ln>
              <a:effectLst>
                <a:outerShdw blurRad="50800" dist="38100" dir="2700000" algn="tl" rotWithShape="0">
                  <a:schemeClr val="accent3">
                    <a:alpha val="40000"/>
                  </a:schemeClr>
                </a:outerShdw>
              </a:effectLst>
            </c:spPr>
          </c:dPt>
          <c:dLbls>
            <c:dLbl>
              <c:idx val="1"/>
              <c:layout/>
              <c:tx>
                <c:rich>
                  <a:bodyPr rot="0" spcFirstLastPara="0" vertOverflow="ellipsis" vert="horz" wrap="square" lIns="38100" tIns="19050" rIns="38100" bIns="19050" anchor="ctr" anchorCtr="1" forceAA="0">
                    <a:spAutoFit/>
                  </a:bodyPr>
                  <a:lstStyle/>
                  <a:p>
                    <a:pPr defTabSz="914400">
                      <a:defRPr lang="zh-CN" sz="900" b="0" i="0" u="none" strike="noStrike" kern="1200" baseline="0">
                        <a:solidFill>
                          <a:schemeClr val="bg1"/>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r>
                      <a:rPr>
                        <a:solidFill>
                          <a:sysClr val="windowText" lastClr="000000"/>
                        </a:solidFill>
                      </a:rPr>
                      <a:t>5%</a:t>
                    </a:r>
                    <a:endParaRPr>
                      <a:solidFill>
                        <a:sysClr val="windowText" lastClr="000000"/>
                      </a:solidFill>
                    </a:endParaRPr>
                  </a:p>
                </c:rich>
              </c:tx>
              <c:dLblPos val="inEnd"/>
              <c:showLegendKey val="0"/>
              <c:showVal val="0"/>
              <c:showCatName val="0"/>
              <c:showSerName val="0"/>
              <c:showPercent val="1"/>
              <c:showBubbleSize val="0"/>
              <c:separator>
</c:separator>
              <c:extLst>
                <c:ext xmlns:c15="http://schemas.microsoft.com/office/drawing/2012/chart" uri="{CE6537A1-D6FC-4f65-9D91-7224C49458BB}"/>
              </c:extLst>
            </c:dLbl>
            <c:dLbl>
              <c:idx val="2"/>
              <c:layout/>
              <c:tx>
                <c:rich>
                  <a:bodyPr rot="0" spcFirstLastPara="0" vertOverflow="ellipsis" vert="horz" wrap="square" lIns="38100" tIns="19050" rIns="38100" bIns="19050" anchor="ctr" anchorCtr="1" forceAA="0">
                    <a:spAutoFit/>
                  </a:bodyPr>
                  <a:lstStyle/>
                  <a:p>
                    <a:pPr defTabSz="914400">
                      <a:defRPr lang="zh-CN" sz="900" b="0" i="0" u="none" strike="noStrike" kern="1200" baseline="0">
                        <a:solidFill>
                          <a:schemeClr val="bg1"/>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r>
                      <a:rPr>
                        <a:solidFill>
                          <a:sysClr val="windowText" lastClr="000000"/>
                        </a:solidFill>
                      </a:rPr>
                      <a:t>6%</a:t>
                    </a:r>
                    <a:endParaRPr>
                      <a:solidFill>
                        <a:sysClr val="windowText" lastClr="000000"/>
                      </a:solidFill>
                    </a:endParaRPr>
                  </a:p>
                </c:rich>
              </c:tx>
              <c:dLblPos val="inEnd"/>
              <c:showLegendKey val="0"/>
              <c:showVal val="0"/>
              <c:showCatName val="0"/>
              <c:showSerName val="0"/>
              <c:showPercent val="1"/>
              <c:showBubbleSize val="0"/>
              <c:separator>
</c:separator>
              <c:extLst>
                <c:ext xmlns:c15="http://schemas.microsoft.com/office/drawing/2012/chart" uri="{CE6537A1-D6FC-4f65-9D91-7224C49458BB}"/>
              </c:extLst>
            </c:dLbl>
            <c:numFmt formatCode="General" sourceLinked="1"/>
            <c:spPr>
              <a:noFill/>
              <a:ln>
                <a:noFill/>
              </a:ln>
              <a:effectLst/>
            </c:spPr>
            <c:txPr>
              <a:bodyPr rot="0" spcFirstLastPara="0" vertOverflow="ellipsis" vert="horz" wrap="square" lIns="38100" tIns="19050" rIns="38100" bIns="19050" anchor="ctr" anchorCtr="1" forceAA="0">
                <a:spAutoFit/>
              </a:bodyPr>
              <a:lstStyle/>
              <a:p>
                <a:pPr>
                  <a:defRPr lang="zh-CN" sz="900" b="0" i="0" u="none" strike="noStrike" kern="1200" baseline="0">
                    <a:solidFill>
                      <a:schemeClr val="bg1"/>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p>
            </c:txPr>
            <c:dLblPos val="inEnd"/>
            <c:showLegendKey val="0"/>
            <c:showVal val="0"/>
            <c:showCatName val="0"/>
            <c:showSerName val="0"/>
            <c:showPercent val="1"/>
            <c:showBubbleSize val="0"/>
            <c:separator>
</c:separator>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'[503001-攀枝花市社会保险事务中心-附表.xls]Sheet1'!$A$14:$A$16</c:f>
              <c:strCache>
                <c:ptCount val="3"/>
                <c:pt idx="0">
                  <c:v>社会保障和就业支出</c:v>
                </c:pt>
                <c:pt idx="1">
                  <c:v>卫生健康支出</c:v>
                </c:pt>
                <c:pt idx="2">
                  <c:v>住房保障支出</c:v>
                </c:pt>
              </c:strCache>
            </c:strRef>
          </c:cat>
          <c:val>
            <c:numRef>
              <c:f>'[503001-攀枝花市社会保险事务中心-附表.xls]Sheet1'!$B$14:$B$16</c:f>
              <c:numCache>
                <c:formatCode>General</c:formatCode>
                <c:ptCount val="3"/>
                <c:pt idx="0">
                  <c:v>1312.96</c:v>
                </c:pt>
                <c:pt idx="1">
                  <c:v>77.34</c:v>
                </c:pt>
                <c:pt idx="2">
                  <c:v>91.71</c:v>
                </c:pt>
              </c:numCache>
            </c:numRef>
          </c:val>
        </c:ser>
        <c:dLbls>
          <c:showLegendKey val="0"/>
          <c:showVal val="1"/>
          <c:showCatName val="0"/>
          <c:showSerName val="0"/>
          <c:showPercent val="0"/>
          <c:showBubbleSize val="0"/>
        </c:dLbls>
      </c:pie3DChart>
      <c:spPr>
        <a:noFill/>
        <a:ln>
          <a:noFill/>
        </a:ln>
        <a:effectLst/>
      </c:spPr>
    </c:plotArea>
    <c:legend>
      <c:legendPos val="r"/>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p>
      </c:txPr>
    </c:legend>
    <c:plotVisOnly val="1"/>
    <c:dispBlanksAs val="gap"/>
    <c:showDLblsOverMax val="0"/>
    <c:extLst>
      <c:ext uri="{0b15fc19-7d7d-44ad-8c2d-2c3a37ce22c3}">
        <chartProps xmlns="https://web.wps.cn/et/2018/main" chartId="{915a7b61-c200-428b-9f5d-c749f181d839}"/>
      </c:ext>
    </c:extLst>
  </c:chart>
  <c:spPr>
    <a:solidFill>
      <a:schemeClr val="bg1"/>
    </a:solidFill>
    <a:ln w="6350" cap="flat" cmpd="sng" algn="ctr">
      <a:solidFill>
        <a:schemeClr val="tx1">
          <a:lumMod val="50000"/>
          <a:lumOff val="50000"/>
          <a:alpha val="25000"/>
        </a:schemeClr>
      </a:solidFill>
      <a:round/>
    </a:ln>
    <a:effectLst/>
  </c:spPr>
  <c:txPr>
    <a:bodyPr/>
    <a:lstStyle/>
    <a:p>
      <a:pPr>
        <a:defRPr lang="zh-CN">
          <a:latin typeface="微软雅黑" panose="020B0503020204020204" charset="-122"/>
          <a:ea typeface="微软雅黑" panose="020B0503020204020204" charset="-122"/>
          <a:cs typeface="微软雅黑" panose="020B0503020204020204" charset="-122"/>
          <a:sym typeface="微软雅黑" panose="020B0503020204020204" charset="-122"/>
        </a:defRPr>
      </a:pP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0" vertOverflow="ellipsis" vert="horz" wrap="square" anchor="ctr" anchorCtr="1" forceAA="0"/>
          <a:lstStyle/>
          <a:p>
            <a:pPr>
              <a:defRPr lang="zh-CN" sz="1400" b="0" i="0" u="none" strike="noStrike" kern="1200" spc="0" baseline="0">
                <a:solidFill>
                  <a:schemeClr val="tx1">
                    <a:lumMod val="65000"/>
                    <a:lumOff val="35000"/>
                  </a:schemeClr>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r>
              <a:t>“三公”经费财政拨款支出结构</a:t>
            </a:r>
          </a:p>
        </c:rich>
      </c:tx>
      <c:layout/>
      <c:overlay val="0"/>
      <c:spPr>
        <a:noFill/>
        <a:ln>
          <a:noFill/>
        </a:ln>
        <a:effectLst/>
      </c:spPr>
    </c:title>
    <c:autoTitleDeleted val="0"/>
    <c:plotArea>
      <c:layout/>
      <c:pieChart>
        <c:varyColors val="1"/>
        <c:ser>
          <c:idx val="0"/>
          <c:order val="0"/>
          <c:spPr>
            <a:solidFill>
              <a:schemeClr val="accent1"/>
            </a:solidFill>
            <a:ln w="25400">
              <a:solidFill>
                <a:schemeClr val="bg1"/>
              </a:solidFill>
            </a:ln>
            <a:effectLst>
              <a:outerShdw blurRad="63500" sx="104000" sy="104000" algn="ctr" rotWithShape="0">
                <a:schemeClr val="bg1">
                  <a:alpha val="33000"/>
                </a:schemeClr>
              </a:outerShdw>
            </a:effectLst>
            <a:sp3d contourW="25400"/>
          </c:spPr>
          <c:explosion val="0"/>
          <c:dPt>
            <c:idx val="0"/>
            <c:bubble3D val="0"/>
            <c:spPr>
              <a:solidFill>
                <a:schemeClr val="accent1"/>
              </a:solidFill>
              <a:ln w="25400">
                <a:solidFill>
                  <a:schemeClr val="bg1"/>
                </a:solidFill>
              </a:ln>
              <a:effectLst>
                <a:outerShdw blurRad="63500" sx="104000" sy="104000" algn="ctr" rotWithShape="0">
                  <a:schemeClr val="bg1">
                    <a:alpha val="33000"/>
                  </a:schemeClr>
                </a:outerShdw>
              </a:effectLst>
              <a:sp3d contourW="25400"/>
            </c:spPr>
          </c:dPt>
          <c:dPt>
            <c:idx val="1"/>
            <c:bubble3D val="0"/>
            <c:spPr>
              <a:solidFill>
                <a:schemeClr val="accent1">
                  <a:lumMod val="60000"/>
                  <a:lumOff val="40000"/>
                </a:schemeClr>
              </a:solidFill>
              <a:ln w="25400">
                <a:solidFill>
                  <a:schemeClr val="bg1"/>
                </a:solidFill>
              </a:ln>
              <a:effectLst>
                <a:outerShdw blurRad="63500" sx="104000" sy="104000" algn="ctr" rotWithShape="0">
                  <a:schemeClr val="bg1">
                    <a:alpha val="33000"/>
                  </a:schemeClr>
                </a:outerShdw>
              </a:effectLst>
              <a:sp3d contourW="25400"/>
            </c:spPr>
          </c:dPt>
          <c:dPt>
            <c:idx val="2"/>
            <c:bubble3D val="0"/>
            <c:spPr>
              <a:solidFill>
                <a:schemeClr val="accent1">
                  <a:lumMod val="40000"/>
                  <a:lumOff val="60000"/>
                </a:schemeClr>
              </a:solidFill>
              <a:ln w="25400">
                <a:solidFill>
                  <a:schemeClr val="bg1"/>
                </a:solidFill>
              </a:ln>
              <a:effectLst>
                <a:outerShdw blurRad="63500" sx="104000" sy="104000" algn="ctr" rotWithShape="0">
                  <a:schemeClr val="bg1">
                    <a:alpha val="33000"/>
                  </a:schemeClr>
                </a:outerShdw>
              </a:effectLst>
              <a:sp3d contourW="25400"/>
            </c:spPr>
          </c:dPt>
          <c:dLbls>
            <c:dLbl>
              <c:idx val="0"/>
              <c:layout/>
              <c:tx>
                <c:rich>
                  <a:bodyPr rot="0" spcFirstLastPara="0" vertOverflow="ellipsis" vert="horz" wrap="square" lIns="38100" tIns="19050" rIns="38100" bIns="19050" anchor="ctr" anchorCtr="1" forceAA="0"/>
                  <a:lstStyle/>
                  <a:p>
                    <a:pPr defTabSz="914400">
                      <a:defRPr lang="zh-CN" sz="900" b="0" i="0" u="none" strike="noStrike" kern="1200" baseline="0">
                        <a:solidFill>
                          <a:schemeClr val="bg1"/>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r>
                      <a:rPr>
                        <a:solidFill>
                          <a:sysClr val="windowText" lastClr="000000"/>
                        </a:solidFill>
                      </a:rPr>
                      <a:t>0%</a:t>
                    </a:r>
                    <a:endParaRPr>
                      <a:solidFill>
                        <a:sysClr val="windowText" lastClr="000000"/>
                      </a:solidFill>
                    </a:endParaRPr>
                  </a:p>
                </c:rich>
              </c:tx>
              <c:numFmt formatCode="General" sourceLinked="1"/>
              <c:spPr>
                <a:noFill/>
                <a:ln>
                  <a:noFill/>
                </a:ln>
                <a:effectLst/>
              </c:spPr>
              <c:txPr>
                <a:bodyPr rot="0" spcFirstLastPara="0" vertOverflow="ellipsis" vert="horz" wrap="square" lIns="38100" tIns="19050" rIns="38100" bIns="19050" anchor="ctr" anchorCtr="1" forceAA="0"/>
                <a:lstStyle/>
                <a:p>
                  <a:pPr>
                    <a:defRPr lang="zh-CN" sz="900" b="0" i="0" u="none" strike="noStrike" kern="1200" baseline="0">
                      <a:solidFill>
                        <a:schemeClr val="bg1"/>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p>
              </c:txPr>
              <c:dLblPos val="inEnd"/>
              <c:showLegendKey val="0"/>
              <c:showVal val="0"/>
              <c:showCatName val="0"/>
              <c:showSerName val="0"/>
              <c:showPercent val="1"/>
              <c:showBubbleSize val="0"/>
              <c:separator>
</c:separator>
              <c:extLst>
                <c:ext xmlns:c15="http://schemas.microsoft.com/office/drawing/2012/chart" uri="{CE6537A1-D6FC-4f65-9D91-7224C49458BB}"/>
              </c:extLst>
            </c:dLbl>
            <c:dLbl>
              <c:idx val="1"/>
              <c:layout/>
              <c:numFmt formatCode="General" sourceLinked="1"/>
              <c:spPr>
                <a:noFill/>
                <a:ln>
                  <a:noFill/>
                </a:ln>
                <a:effectLst/>
              </c:spPr>
              <c:txPr>
                <a:bodyPr rot="0" spcFirstLastPara="0" vertOverflow="ellipsis" vert="horz" wrap="square" lIns="38100" tIns="19050" rIns="38100" bIns="19050" anchor="ctr" anchorCtr="1" forceAA="0"/>
                <a:lstStyle/>
                <a:p>
                  <a:pPr>
                    <a:defRPr lang="zh-CN" sz="900" b="0" i="0" u="none" strike="noStrike" kern="1200" baseline="0">
                      <a:solidFill>
                        <a:schemeClr val="bg1"/>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p>
              </c:txPr>
              <c:dLblPos val="inEnd"/>
              <c:showLegendKey val="0"/>
              <c:showVal val="0"/>
              <c:showCatName val="0"/>
              <c:showSerName val="0"/>
              <c:showPercent val="1"/>
              <c:showBubbleSize val="0"/>
              <c:separator>
</c:separator>
              <c:extLst>
                <c:ext xmlns:c15="http://schemas.microsoft.com/office/drawing/2012/chart" uri="{CE6537A1-D6FC-4f65-9D91-7224C49458BB}"/>
              </c:extLst>
            </c:dLbl>
            <c:dLbl>
              <c:idx val="2"/>
              <c:layout/>
              <c:numFmt formatCode="General" sourceLinked="1"/>
              <c:spPr>
                <a:noFill/>
                <a:ln>
                  <a:noFill/>
                </a:ln>
                <a:effectLst/>
              </c:spPr>
              <c:txPr>
                <a:bodyPr rot="0" spcFirstLastPara="0" vertOverflow="ellipsis" vert="horz" wrap="square" lIns="38100" tIns="19050" rIns="38100" bIns="19050" anchor="ctr" anchorCtr="1" forceAA="0"/>
                <a:lstStyle/>
                <a:p>
                  <a:pPr>
                    <a:defRPr lang="zh-CN" sz="900" b="0" i="0" u="none" strike="noStrike" kern="1200" baseline="0">
                      <a:solidFill>
                        <a:schemeClr val="accent1">
                          <a:lumMod val="75000"/>
                        </a:schemeClr>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p>
              </c:txPr>
              <c:dLblPos val="inEnd"/>
              <c:showLegendKey val="0"/>
              <c:showVal val="0"/>
              <c:showCatName val="0"/>
              <c:showSerName val="0"/>
              <c:showPercent val="1"/>
              <c:showBubbleSize val="0"/>
              <c:separator>
</c:separator>
              <c:extLst>
                <c:ext xmlns:c15="http://schemas.microsoft.com/office/drawing/2012/chart" uri="{CE6537A1-D6FC-4f65-9D91-7224C49458BB}"/>
              </c:extLst>
            </c:dLbl>
            <c:numFmt formatCode="General" sourceLinked="1"/>
            <c:spPr>
              <a:noFill/>
              <a:ln>
                <a:noFill/>
              </a:ln>
              <a:effectLst/>
            </c:spPr>
            <c:txPr>
              <a:bodyPr rot="0" spcFirstLastPara="0" vertOverflow="ellipsis" vert="horz" wrap="square" lIns="38100" tIns="19050" rIns="38100" bIns="19050" anchor="ctr" anchorCtr="1" forceAA="0"/>
              <a:lstStyle/>
              <a:p>
                <a:pPr>
                  <a:defRPr lang="zh-CN" sz="900" b="0" i="0" u="none" strike="noStrike" kern="1200" baseline="0">
                    <a:solidFill>
                      <a:schemeClr val="bg1"/>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p>
            </c:txPr>
            <c:dLblPos val="inEnd"/>
            <c:showLegendKey val="0"/>
            <c:showVal val="0"/>
            <c:showCatName val="0"/>
            <c:showSerName val="0"/>
            <c:showPercent val="1"/>
            <c:showBubbleSize val="0"/>
            <c:separator>
</c:separator>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'[503001-攀枝花市社会保险事务中心-附表.xls]Sheet1'!$A$19:$A$21</c:f>
              <c:strCache>
                <c:ptCount val="3"/>
                <c:pt idx="0">
                  <c:v>因公出国（境）费</c:v>
                </c:pt>
                <c:pt idx="1">
                  <c:v>公务用车购置及运行维护费</c:v>
                </c:pt>
                <c:pt idx="2">
                  <c:v>公务接待费</c:v>
                </c:pt>
              </c:strCache>
            </c:strRef>
          </c:cat>
          <c:val>
            <c:numRef>
              <c:f>'[503001-攀枝花市社会保险事务中心-附表.xls]Sheet1'!$B$19:$B$21</c:f>
              <c:numCache>
                <c:formatCode>General</c:formatCode>
                <c:ptCount val="3"/>
                <c:pt idx="0">
                  <c:v>0</c:v>
                </c:pt>
                <c:pt idx="1">
                  <c:v>1.13</c:v>
                </c:pt>
                <c:pt idx="2">
                  <c:v>1.11</c:v>
                </c:pt>
              </c:numCache>
            </c:numRef>
          </c:val>
        </c:ser>
        <c:dLbls>
          <c:showLegendKey val="0"/>
          <c:showVal val="1"/>
          <c:showCatName val="0"/>
          <c:showSerName val="0"/>
          <c:showPercent val="0"/>
          <c:showBubbleSize val="0"/>
          <c:showLeaderLines val="1"/>
        </c:dLbls>
        <c:firstSliceAng val="0"/>
      </c:pieChart>
      <c:spPr>
        <a:noFill/>
        <a:ln>
          <a:noFill/>
        </a:ln>
        <a:effectLst/>
      </c:spPr>
    </c:plotArea>
    <c:legend>
      <c:legendPos val="r"/>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p>
      </c:txPr>
    </c:legend>
    <c:plotVisOnly val="1"/>
    <c:dispBlanksAs val="gap"/>
    <c:showDLblsOverMax val="0"/>
    <c:extLst>
      <c:ext uri="{0b15fc19-7d7d-44ad-8c2d-2c3a37ce22c3}">
        <chartProps xmlns="https://web.wps.cn/et/2018/main" chartId="{9d1f71c2-f4a8-4f6a-ac1c-6706175d821e}"/>
      </c:ext>
    </c:extLst>
  </c:chart>
  <c:spPr>
    <a:solidFill>
      <a:schemeClr val="bg1"/>
    </a:solidFill>
    <a:ln w="6350" cap="flat" cmpd="sng" algn="ctr">
      <a:solidFill>
        <a:schemeClr val="tx1">
          <a:lumMod val="50000"/>
          <a:lumOff val="50000"/>
          <a:alpha val="25000"/>
        </a:schemeClr>
      </a:solidFill>
      <a:round/>
    </a:ln>
    <a:effectLst>
      <a:outerShdw blurRad="63500" dist="37357" dir="2700000" sx="0" sy="0" rotWithShape="0">
        <a:scrgbClr r="0" g="0" b="0"/>
      </a:outerShdw>
    </a:effectLst>
  </c:spPr>
  <c:txPr>
    <a:bodyPr/>
    <a:lstStyle/>
    <a:p>
      <a:pPr>
        <a:defRPr lang="zh-CN">
          <a:latin typeface="微软雅黑" panose="020B0503020204020204" charset="-122"/>
          <a:ea typeface="微软雅黑" panose="020B0503020204020204" charset="-122"/>
          <a:cs typeface="微软雅黑" panose="020B0503020204020204" charset="-122"/>
          <a:sym typeface="微软雅黑" panose="020B0503020204020204" charset="-122"/>
        </a:defRPr>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10028">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0">
      <cs:styleClr val="auto"/>
    </cs:fillRef>
    <cs:effectRef idx="0"/>
    <cs:fontRef idx="minor">
      <a:schemeClr val="dk1"/>
    </cs:fontRef>
    <cs:spPr>
      <a:ln w="28575" cap="rnd">
        <a:solidFill>
          <a:schemeClr val="phClr"/>
        </a:solidFill>
        <a:round/>
      </a:ln>
      <a:effectLst/>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10097">
  <cs:axisTitle>
    <cs:lnRef idx="0"/>
    <cs:fillRef idx="0"/>
    <cs:effectRef idx="0"/>
    <cs:fontRef idx="minor">
      <a:schemeClr val="dk1">
        <a:lumMod val="65000"/>
        <a:lumOff val="35000"/>
      </a:schemeClr>
    </cs:fontRef>
    <cs:defRPr sz="1000" kern="1200"/>
  </cs:axisTitle>
  <cs:categoryAxis>
    <cs:lnRef idx="0"/>
    <cs:fillRef idx="0"/>
    <cs:effectRef idx="0"/>
    <cs:fontRef idx="minor">
      <a:schemeClr val="dk1">
        <a:lumMod val="65000"/>
        <a:lumOff val="35000"/>
      </a:schemeClr>
    </cs:fontRef>
    <cs:spPr>
      <a:ln w="9525" cap="flat" cmpd="sng" algn="ctr">
        <a:solidFill>
          <a:schemeClr val="dk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lt1">
          <a:lumMod val="96000"/>
        </a:schemeClr>
      </a:solidFill>
      <a:ln w="9525" cap="flat" cmpd="sng" algn="ctr">
        <a:solidFill>
          <a:schemeClr val="tx1">
            <a:lumMod val="15000"/>
            <a:lumOff val="85000"/>
          </a:schemeClr>
        </a:solidFill>
        <a:round/>
      </a:ln>
    </cs:spPr>
    <cs:defRPr sz="1000" kern="1200"/>
  </cs:chartArea>
  <cs:dataLabel>
    <cs:lnRef idx="0"/>
    <cs:fillRef idx="0"/>
    <cs:effectRef idx="0"/>
    <cs:fontRef idx="minor">
      <a:schemeClr val="dk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styleClr val="auto"/>
    </cs:lnRef>
    <cs:fillRef idx="0">
      <cs:styleClr val="auto"/>
    </cs:fillRef>
    <cs:effectRef idx="0"/>
    <cs:fontRef idx="minor">
      <a:schemeClr val="dk1"/>
    </cs:fontRef>
    <cs:spPr>
      <a:gradFill>
        <a:gsLst>
          <a:gs pos="100000">
            <a:schemeClr val="phClr"/>
          </a:gs>
          <a:gs pos="0">
            <a:schemeClr val="phClr">
              <a:hueOff val="-1670000"/>
            </a:schemeClr>
          </a:gs>
        </a:gsLst>
        <a:lin ang="5400000" scaled="0"/>
      </a:gradFill>
      <a:ln>
        <a:gradFill>
          <a:gsLst>
            <a:gs pos="100000">
              <a:schemeClr val="phClr">
                <a:lumMod val="75000"/>
              </a:schemeClr>
            </a:gs>
            <a:gs pos="0">
              <a:schemeClr val="phClr">
                <a:lumMod val="75000"/>
                <a:hueOff val="-1670000"/>
              </a:schemeClr>
            </a:gs>
          </a:gsLst>
          <a:lin ang="4620000" scaled="0"/>
        </a:gradFill>
      </a:ln>
      <a:effectLst/>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dk1">
        <a:lumMod val="65000"/>
        <a:lumOff val="35000"/>
      </a:schemeClr>
    </cs:fontRef>
    <cs:spPr>
      <a:noFill/>
      <a:ln w="9525" cap="flat" cmpd="sng" algn="ctr">
        <a:solidFill>
          <a:schemeClr val="dk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a:solidFill>
          <a:schemeClr val="dk1">
            <a:lumMod val="35000"/>
            <a:lumOff val="65000"/>
          </a:schemeClr>
        </a:solidFill>
      </a:ln>
    </cs:spPr>
  </cs:dropLine>
  <cs:errorBar>
    <cs:lnRef idx="0"/>
    <cs:fillRef idx="0"/>
    <cs:effectRef idx="0"/>
    <cs:fontRef idx="minor">
      <a:schemeClr val="tx1"/>
    </cs:fontRef>
    <cs:spPr>
      <a:ln w="9525" cap="flat" cmpd="sng" algn="ctr">
        <a:solidFill>
          <a:schemeClr val="dk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a:solidFill>
          <a:schemeClr val="dk1">
            <a:lumMod val="75000"/>
            <a:lumOff val="25000"/>
          </a:schemeClr>
        </a:solidFill>
      </a:ln>
    </cs:spPr>
  </cs:hiLoLine>
  <cs:leaderLine>
    <cs:lnRef idx="0"/>
    <cs:fillRef idx="0"/>
    <cs:effectRef idx="0"/>
    <cs:fontRef idx="minor">
      <a:schemeClr val="tx1"/>
    </cs:fontRef>
    <cs:spPr>
      <a:ln w="9525">
        <a:solidFill>
          <a:schemeClr val="dk1">
            <a:lumMod val="35000"/>
            <a:lumOff val="65000"/>
          </a:schemeClr>
        </a:solidFill>
      </a:ln>
    </cs:spPr>
  </cs:leaderLine>
  <cs:legend>
    <cs:lnRef idx="0"/>
    <cs:fillRef idx="0"/>
    <cs:effectRef idx="0"/>
    <cs:fontRef idx="minor">
      <a:schemeClr val="dk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dk1">
        <a:lumMod val="65000"/>
        <a:lumOff val="35000"/>
      </a:schemeClr>
    </cs:fontRef>
    <cs:defRPr sz="900" kern="1200"/>
  </cs:seriesAxis>
  <cs:seriesLine>
    <cs:lnRef idx="0"/>
    <cs:fillRef idx="0"/>
    <cs:effectRef idx="0"/>
    <cs:fontRef idx="minor">
      <a:schemeClr val="tx1"/>
    </cs:fontRef>
    <cs:spPr>
      <a:ln w="9525">
        <a:solidFill>
          <a:schemeClr val="dk1">
            <a:lumMod val="35000"/>
            <a:lumOff val="65000"/>
          </a:schemeClr>
        </a:solidFill>
      </a:ln>
    </cs:spPr>
  </cs:seriesLine>
  <cs:title>
    <cs:lnRef idx="0"/>
    <cs:fillRef idx="0"/>
    <cs:effectRef idx="0"/>
    <cs:fontRef idx="minor">
      <a:schemeClr val="dk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dk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dk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word/theme/themeOverride1.xml><?xml version="1.0" encoding="utf-8"?>
<a:themeOverride xmlns:a="http://schemas.openxmlformats.org/drawingml/2006/main">
  <a:clrScheme name="自定义 107">
    <a:dk1>
      <a:srgbClr val="000000"/>
    </a:dk1>
    <a:lt1>
      <a:srgbClr val="FFFFFF"/>
    </a:lt1>
    <a:dk2>
      <a:srgbClr val="44546A"/>
    </a:dk2>
    <a:lt2>
      <a:srgbClr val="E7E6E6"/>
    </a:lt2>
    <a:accent1>
      <a:srgbClr val="1D6FA9"/>
    </a:accent1>
    <a:accent2>
      <a:srgbClr val="39ADCE"/>
    </a:accent2>
    <a:accent3>
      <a:srgbClr val="8BC145"/>
    </a:accent3>
    <a:accent4>
      <a:srgbClr val="1D9A78"/>
    </a:accent4>
    <a:accent5>
      <a:srgbClr val="30C0B4"/>
    </a:accent5>
    <a:accent6>
      <a:srgbClr val="4874CB"/>
    </a:accent6>
    <a:hlink>
      <a:srgbClr val="0026E5"/>
    </a:hlink>
    <a:folHlink>
      <a:srgbClr val="7E1FAD"/>
    </a:folHlink>
  </a:clrScheme>
  <a:fontScheme name="WPS">
    <a:majorFont>
      <a:latin typeface="Calibri Light"/>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自定义 1">
    <a:dk1>
      <a:srgbClr val="000000"/>
    </a:dk1>
    <a:lt1>
      <a:srgbClr val="FFFFFF"/>
    </a:lt1>
    <a:dk2>
      <a:srgbClr val="44546A"/>
    </a:dk2>
    <a:lt2>
      <a:srgbClr val="E7E6E6"/>
    </a:lt2>
    <a:accent1>
      <a:srgbClr val="4F80FF"/>
    </a:accent1>
    <a:accent2>
      <a:srgbClr val="16CC8A"/>
    </a:accent2>
    <a:accent3>
      <a:srgbClr val="FFC619"/>
    </a:accent3>
    <a:accent4>
      <a:srgbClr val="FF7F41"/>
    </a:accent4>
    <a:accent5>
      <a:srgbClr val="F95F5F"/>
    </a:accent5>
    <a:accent6>
      <a:srgbClr val="A15CFF"/>
    </a:accent6>
    <a:hlink>
      <a:srgbClr val="0026E5"/>
    </a:hlink>
    <a:folHlink>
      <a:srgbClr val="7E1FAD"/>
    </a:folHlink>
  </a:clrScheme>
  <a:fontScheme name="WPS">
    <a:majorFont>
      <a:latin typeface="Calibri Light"/>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xml><?xml version="1.0" encoding="utf-8"?>
<a:themeOverride xmlns:a="http://schemas.openxmlformats.org/drawingml/2006/main">
  <a:clrScheme name="自定义 58">
    <a:dk1>
      <a:srgbClr val="000000"/>
    </a:dk1>
    <a:lt1>
      <a:srgbClr val="FFFFFF"/>
    </a:lt1>
    <a:dk2>
      <a:srgbClr val="44546A"/>
    </a:dk2>
    <a:lt2>
      <a:srgbClr val="E7E6E6"/>
    </a:lt2>
    <a:accent1>
      <a:srgbClr val="4F66FF"/>
    </a:accent1>
    <a:accent2>
      <a:srgbClr val="28A1FA"/>
    </a:accent2>
    <a:accent3>
      <a:srgbClr val="39D8DA"/>
    </a:accent3>
    <a:accent4>
      <a:srgbClr val="23D355"/>
    </a:accent4>
    <a:accent5>
      <a:srgbClr val="ABDF3A"/>
    </a:accent5>
    <a:accent6>
      <a:srgbClr val="FFC91E"/>
    </a:accent6>
    <a:hlink>
      <a:srgbClr val="0026E5"/>
    </a:hlink>
    <a:folHlink>
      <a:srgbClr val="7E1FAD"/>
    </a:folHlink>
  </a:clrScheme>
  <a:fontScheme name="WPS">
    <a:majorFont>
      <a:latin typeface="Calibri Light"/>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xml><?xml version="1.0" encoding="utf-8"?>
<a:themeOverride xmlns:a="http://schemas.openxmlformats.org/drawingml/2006/main">
  <a:clrScheme name="多彩-02">
    <a:dk1>
      <a:srgbClr val="000000"/>
    </a:dk1>
    <a:lt1>
      <a:srgbClr val="FFFFFF"/>
    </a:lt1>
    <a:dk2>
      <a:srgbClr val="000000"/>
    </a:dk2>
    <a:lt2>
      <a:srgbClr val="FEFFFF"/>
    </a:lt2>
    <a:accent1>
      <a:srgbClr val="3B73FF"/>
    </a:accent1>
    <a:accent2>
      <a:srgbClr val="18DC96"/>
    </a:accent2>
    <a:accent3>
      <a:srgbClr val="FFC41D"/>
    </a:accent3>
    <a:accent4>
      <a:srgbClr val="FF7741"/>
    </a:accent4>
    <a:accent5>
      <a:srgbClr val="FB5F5F"/>
    </a:accent5>
    <a:accent6>
      <a:srgbClr val="A15CFF"/>
    </a:accent6>
    <a:hlink>
      <a:srgbClr val="304FFE"/>
    </a:hlink>
    <a:folHlink>
      <a:srgbClr val="492067"/>
    </a:folHlink>
  </a:clrScheme>
  <a:fontScheme name="微软雅黑">
    <a:majorFont>
      <a:latin typeface="Arial"/>
      <a:ea typeface="微软雅黑"/>
      <a:cs typeface=""/>
    </a:majorFont>
    <a:minorFont>
      <a:latin typeface="Arial"/>
      <a:ea typeface="微软雅黑"/>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5.xml><?xml version="1.0" encoding="utf-8"?>
<a:themeOverride xmlns:a="http://schemas.openxmlformats.org/drawingml/2006/main">
  <a:clrScheme name="自定义 58">
    <a:dk1>
      <a:srgbClr val="000000"/>
    </a:dk1>
    <a:lt1>
      <a:srgbClr val="FFFFFF"/>
    </a:lt1>
    <a:dk2>
      <a:srgbClr val="44546A"/>
    </a:dk2>
    <a:lt2>
      <a:srgbClr val="E7E6E6"/>
    </a:lt2>
    <a:accent1>
      <a:srgbClr val="FF9205"/>
    </a:accent1>
    <a:accent2>
      <a:srgbClr val="EF534C"/>
    </a:accent2>
    <a:accent3>
      <a:srgbClr val="5DB020"/>
    </a:accent3>
    <a:accent4>
      <a:srgbClr val="468ED8"/>
    </a:accent4>
    <a:accent5>
      <a:srgbClr val="7058CA"/>
    </a:accent5>
    <a:accent6>
      <a:srgbClr val="C358CA"/>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6.xml><?xml version="1.0" encoding="utf-8"?>
<a:themeOverride xmlns:a="http://schemas.openxmlformats.org/drawingml/2006/main">
  <a:clrScheme name="自定义 27">
    <a:dk1>
      <a:srgbClr val="000000"/>
    </a:dk1>
    <a:lt1>
      <a:srgbClr val="FFFFFF"/>
    </a:lt1>
    <a:dk2>
      <a:srgbClr val="000000"/>
    </a:dk2>
    <a:lt2>
      <a:srgbClr val="FEFFFF"/>
    </a:lt2>
    <a:accent1>
      <a:srgbClr val="3B73FF"/>
    </a:accent1>
    <a:accent2>
      <a:srgbClr val="1DDC98"/>
    </a:accent2>
    <a:accent3>
      <a:srgbClr val="FFCC3E"/>
    </a:accent3>
    <a:accent4>
      <a:srgbClr val="FF7640"/>
    </a:accent4>
    <a:accent5>
      <a:srgbClr val="FC4242"/>
    </a:accent5>
    <a:accent6>
      <a:srgbClr val="A766FF"/>
    </a:accent6>
    <a:hlink>
      <a:srgbClr val="304FFE"/>
    </a:hlink>
    <a:folHlink>
      <a:srgbClr val="492067"/>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7.xml><?xml version="1.0" encoding="utf-8"?>
<a:themeOverride xmlns:a="http://schemas.openxmlformats.org/drawingml/2006/main">
  <a:clrScheme name="自定义 27">
    <a:dk1>
      <a:srgbClr val="000000"/>
    </a:dk1>
    <a:lt1>
      <a:srgbClr val="FFFFFF"/>
    </a:lt1>
    <a:dk2>
      <a:srgbClr val="000000"/>
    </a:dk2>
    <a:lt2>
      <a:srgbClr val="FEFFFF"/>
    </a:lt2>
    <a:accent1>
      <a:srgbClr val="3B73FF"/>
    </a:accent1>
    <a:accent2>
      <a:srgbClr val="1DDC98"/>
    </a:accent2>
    <a:accent3>
      <a:srgbClr val="FFCC3E"/>
    </a:accent3>
    <a:accent4>
      <a:srgbClr val="FF7640"/>
    </a:accent4>
    <a:accent5>
      <a:srgbClr val="FC4242"/>
    </a:accent5>
    <a:accent6>
      <a:srgbClr val="A766FF"/>
    </a:accent6>
    <a:hlink>
      <a:srgbClr val="304FFE"/>
    </a:hlink>
    <a:folHlink>
      <a:srgbClr val="492067"/>
    </a:folHlink>
  </a:clrScheme>
  <a:fontScheme name="WPS">
    <a:majorFont>
      <a:latin typeface="Calibri Light"/>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四川省财政厅</Company>
  <Pages>55</Pages>
  <Words>20767</Words>
  <Characters>22402</Characters>
  <Lines>61</Lines>
  <Paragraphs>17</Paragraphs>
  <TotalTime>33</TotalTime>
  <ScaleCrop>false</ScaleCrop>
  <LinksUpToDate>false</LinksUpToDate>
  <CharactersWithSpaces>22470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2020-08-09T09:49:00Z</dcterms:created>
  <dc:creator>曹颖</dc:creator>
  <cp:lastModifiedBy>庄莉莉</cp:lastModifiedBy>
  <cp:lastPrinted>2025-08-06T17:34:00Z</cp:lastPrinted>
  <dcterms:modified xsi:type="dcterms:W3CDTF">2025-09-11T02:14:56Z</dcterms:modified>
  <dc:title>四川省***</dc:title>
  <cp:revision>32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1346FDFC7C7C4EFBBFB089A070FDD933_13</vt:lpwstr>
  </property>
  <property fmtid="{D5CDD505-2E9C-101B-9397-08002B2CF9AE}" pid="4" name="KSOTemplateDocerSaveRecord">
    <vt:lpwstr>eyJoZGlkIjoiMWE5NTE0ODQ5ZWU0OTRiNzg4OWYxMzJlMDIxMTc2MjEiLCJ1c2VySWQiOiIzMjk4NzUifQ==</vt:lpwstr>
  </property>
</Properties>
</file>