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17316">
      <w:pPr>
        <w:pStyle w:val="5"/>
        <w:jc w:val="center"/>
        <w:rPr>
          <w:rFonts w:hint="eastAsia" w:ascii="Times New Roman" w:hAnsi="Times New Roman" w:eastAsia="方正小标宋简体" w:cs="Times New Roman"/>
          <w:color w:val="auto"/>
          <w:kern w:val="2"/>
          <w:sz w:val="44"/>
          <w:szCs w:val="44"/>
          <w:highlight w:val="none"/>
          <w:lang w:val="en-US" w:eastAsia="zh-CN" w:bidi="ar-SA"/>
        </w:rPr>
      </w:pPr>
      <w:bookmarkStart w:id="0" w:name="_Toc15377193"/>
      <w:bookmarkStart w:id="1" w:name="_Toc15306267"/>
      <w:bookmarkStart w:id="2" w:name="_Toc15378441"/>
      <w:bookmarkStart w:id="3" w:name="_Toc15396597"/>
      <w:bookmarkStart w:id="4" w:name="_Toc15377425"/>
      <w:bookmarkStart w:id="5" w:name="_Toc15396475"/>
    </w:p>
    <w:p w14:paraId="47B52513">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p w14:paraId="25610A5B">
      <w:pPr>
        <w:pStyle w:val="5"/>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bookmarkEnd w:id="5"/>
    <w:p w14:paraId="052264FA">
      <w:pPr>
        <w:pStyle w:val="5"/>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96476"/>
      <w:bookmarkStart w:id="7" w:name="_Toc15378442"/>
      <w:bookmarkStart w:id="8" w:name="_Toc15377426"/>
      <w:bookmarkStart w:id="9" w:name="_Toc15396598"/>
      <w:bookmarkStart w:id="10" w:name="_Toc15377194"/>
      <w:r>
        <w:rPr>
          <w:rFonts w:hint="eastAsia" w:ascii="Times New Roman" w:hAnsi="Times New Roman" w:eastAsia="方正小标宋简体" w:cs="Times New Roman"/>
          <w:color w:val="auto"/>
          <w:kern w:val="2"/>
          <w:sz w:val="44"/>
          <w:szCs w:val="44"/>
          <w:highlight w:val="none"/>
          <w:lang w:val="en-US" w:eastAsia="zh-CN" w:bidi="ar-SA"/>
        </w:rPr>
        <w:t>2024年度四川省</w:t>
      </w:r>
      <w:bookmarkStart w:id="11" w:name="_Toc15306268"/>
      <w:r>
        <w:rPr>
          <w:rFonts w:hint="eastAsia" w:ascii="方正小标宋简体" w:hAnsi="宋体" w:eastAsia="方正小标宋简体" w:cs="Times New Roman"/>
          <w:color w:val="auto"/>
          <w:kern w:val="2"/>
          <w:sz w:val="44"/>
          <w:szCs w:val="44"/>
          <w:highlight w:val="none"/>
          <w:lang w:val="en-US" w:eastAsia="zh-CN" w:bidi="ar-SA"/>
        </w:rPr>
        <w:t>攀枝花市社会保险事务中心</w:t>
      </w:r>
      <w:r>
        <w:rPr>
          <w:rFonts w:hint="eastAsia" w:ascii="Times New Roman" w:hAnsi="Times New Roman" w:eastAsia="方正小标宋简体" w:cs="Times New Roman"/>
          <w:color w:val="auto"/>
          <w:kern w:val="2"/>
          <w:sz w:val="44"/>
          <w:szCs w:val="44"/>
          <w:highlight w:val="none"/>
          <w:lang w:val="en-US" w:eastAsia="zh-CN" w:bidi="ar-SA"/>
        </w:rPr>
        <w:t>部门决算</w:t>
      </w:r>
      <w:bookmarkEnd w:id="6"/>
      <w:bookmarkEnd w:id="7"/>
      <w:bookmarkEnd w:id="8"/>
      <w:bookmarkEnd w:id="9"/>
      <w:bookmarkEnd w:id="10"/>
      <w:bookmarkEnd w:id="11"/>
    </w:p>
    <w:p w14:paraId="7AF97CE1">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方正小标宋_GBK" w:hAnsi="方正小标宋_GBK" w:eastAsia="方正小标宋_GBK" w:cs="方正小标宋_GBK"/>
          <w:color w:val="auto"/>
          <w:sz w:val="48"/>
          <w:szCs w:val="48"/>
          <w:highlight w:val="none"/>
        </w:rPr>
        <w:t>目录</w:t>
      </w:r>
    </w:p>
    <w:p w14:paraId="765D67C4">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11</w:t>
      </w:r>
      <w:bookmarkStart w:id="68" w:name="_GoBack"/>
      <w:bookmarkEnd w:id="68"/>
      <w:r>
        <w:rPr>
          <w:rFonts w:hint="eastAsia" w:ascii="Times New Roman" w:hAnsi="Times New Roman" w:eastAsia="仿宋_GB2312" w:cs="仿宋_GB2312"/>
          <w:color w:val="auto"/>
          <w:sz w:val="32"/>
          <w:szCs w:val="32"/>
          <w:highlight w:val="none"/>
        </w:rPr>
        <w:t>日</w:t>
      </w:r>
    </w:p>
    <w:p w14:paraId="48EBBA49">
      <w:pPr>
        <w:rPr>
          <w:rFonts w:ascii="Times New Roman" w:hAnsi="Times New Roman"/>
          <w:color w:val="auto"/>
          <w:highlight w:val="none"/>
        </w:rPr>
      </w:pPr>
    </w:p>
    <w:p w14:paraId="43F418EE">
      <w:pPr>
        <w:pStyle w:val="13"/>
        <w:adjustRightInd w:val="0"/>
        <w:snapToGrid w:val="0"/>
        <w:spacing w:before="0" w:line="440" w:lineRule="exact"/>
        <w:jc w:val="left"/>
        <w:rPr>
          <w:rFonts w:cs="Times New Roman"/>
          <w:color w:val="auto"/>
          <w:sz w:val="24"/>
          <w:szCs w:val="24"/>
          <w:highlight w:val="none"/>
        </w:rPr>
      </w:pPr>
      <w:r>
        <w:rPr>
          <w:rFonts w:hint="eastAsia" w:ascii="Times New Roman" w:hAnsi="Times New Roman" w:eastAsia="黑体" w:cs="黑体"/>
          <w:color w:val="auto"/>
          <w:sz w:val="32"/>
          <w:szCs w:val="32"/>
          <w:highlight w:val="none"/>
        </w:rPr>
        <w:t>第一部分 部门概况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4</w:t>
      </w:r>
    </w:p>
    <w:p w14:paraId="553EA08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4</w:t>
      </w:r>
    </w:p>
    <w:p w14:paraId="18E5A3C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二、机构设置</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4</w:t>
      </w:r>
    </w:p>
    <w:p w14:paraId="2D5C7934">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5</w:t>
      </w:r>
    </w:p>
    <w:p w14:paraId="5145878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一、收入支出决算总体情况说明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5</w:t>
      </w:r>
    </w:p>
    <w:p w14:paraId="0FFF40D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二、收入决算情况说明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5</w:t>
      </w:r>
    </w:p>
    <w:p w14:paraId="3C3CD7D2">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6</w:t>
      </w:r>
    </w:p>
    <w:p w14:paraId="19F0F10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四、财政拨款收入支出决算总体情况说明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6</w:t>
      </w:r>
    </w:p>
    <w:p w14:paraId="355E33B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五、一般公共预算财政拨款支出决算情况说明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7</w:t>
      </w:r>
    </w:p>
    <w:p w14:paraId="616088B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10</w:t>
      </w:r>
    </w:p>
    <w:p w14:paraId="762BE70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10</w:t>
      </w:r>
    </w:p>
    <w:p w14:paraId="6E1CB53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八、政府性基金预算支出决算情况说明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13</w:t>
      </w:r>
    </w:p>
    <w:p w14:paraId="6E62BC6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13</w:t>
      </w:r>
    </w:p>
    <w:p w14:paraId="641EF5B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default" w:ascii="Times New Roman" w:hAnsi="Times New Roman" w:cs="Times New Roman"/>
          <w:color w:val="auto"/>
          <w:sz w:val="24"/>
          <w:szCs w:val="24"/>
        </w:rPr>
        <w:tab/>
      </w:r>
      <w:r>
        <w:rPr>
          <w:rFonts w:hint="eastAsia" w:cs="Times New Roman"/>
          <w:color w:val="auto"/>
          <w:sz w:val="24"/>
          <w:szCs w:val="24"/>
          <w:lang w:val="en-US" w:eastAsia="zh-CN"/>
        </w:rPr>
        <w:t>13</w:t>
      </w:r>
    </w:p>
    <w:p w14:paraId="127D927C">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第三部分 名词解释</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16</w:t>
      </w:r>
    </w:p>
    <w:p w14:paraId="3CF0EA1D">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第四部分 附件</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20</w:t>
      </w:r>
    </w:p>
    <w:p w14:paraId="3FA29FC8">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第五部分 附表</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55</w:t>
      </w:r>
    </w:p>
    <w:p w14:paraId="21719E5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一、收入支出决算总表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7728C6B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二、收入决算表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01EC143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三、支出决算表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08BBCC7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四、财政拨款收入支出决算总表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0A1C365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五、财政拨款支出决算明细表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71B7DBE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六、一般公共预算财政拨款支出决算表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6D7FE60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七、一般公共预算财政拨款支出决算明细表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5D07E8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DA1089E">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九、一般公共预算财政拨款项目支出决算表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197E32C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十、政府性基金预算财政拨款收入支出决算表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4C25588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E51AD6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3851794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十三、财政拨款“三公”经费支出决算表</w:t>
      </w:r>
      <w:r>
        <w:rPr>
          <w:rFonts w:hint="default" w:ascii="Times New Roman" w:hAnsi="Times New Roman" w:cs="Times New Roman"/>
          <w:color w:val="auto"/>
          <w:sz w:val="24"/>
          <w:szCs w:val="24"/>
        </w:rPr>
        <w:tab/>
      </w:r>
      <w:r>
        <w:rPr>
          <w:rFonts w:hint="eastAsia" w:cs="Times New Roman"/>
          <w:color w:val="auto"/>
          <w:sz w:val="24"/>
          <w:szCs w:val="24"/>
          <w:lang w:val="en-US" w:eastAsia="zh-CN"/>
        </w:rPr>
        <w:t>55</w:t>
      </w:r>
    </w:p>
    <w:p w14:paraId="49156647">
      <w:pPr>
        <w:keepNext w:val="0"/>
        <w:keepLines w:val="0"/>
        <w:pageBreakBefore w:val="0"/>
        <w:widowControl/>
        <w:kinsoku/>
        <w:wordWrap/>
        <w:overflowPunct/>
        <w:topLinePunct w:val="0"/>
        <w:autoSpaceDE/>
        <w:autoSpaceDN/>
        <w:bidi w:val="0"/>
        <w:spacing w:line="560" w:lineRule="exact"/>
        <w:jc w:val="left"/>
        <w:textAlignment w:val="auto"/>
        <w:rPr>
          <w:rFonts w:hint="eastAsia" w:ascii="Times New Roman" w:hAnsi="Times New Roman" w:eastAsia="仿宋_GB2312" w:cs="仿宋_GB2312"/>
          <w:bCs/>
          <w:color w:val="auto"/>
          <w:kern w:val="44"/>
          <w:sz w:val="32"/>
          <w:szCs w:val="32"/>
          <w:highlight w:val="none"/>
        </w:rPr>
      </w:pPr>
      <w:bookmarkStart w:id="12" w:name="_Toc15377196"/>
      <w:bookmarkStart w:id="13" w:name="_Toc15396599"/>
      <w:r>
        <w:rPr>
          <w:rFonts w:hint="eastAsia" w:ascii="Times New Roman" w:hAnsi="Times New Roman" w:eastAsia="仿宋_GB2312" w:cs="仿宋_GB2312"/>
          <w:b/>
          <w:color w:val="auto"/>
          <w:sz w:val="32"/>
          <w:szCs w:val="32"/>
          <w:highlight w:val="none"/>
        </w:rPr>
        <w:br w:type="page"/>
      </w:r>
    </w:p>
    <w:p w14:paraId="69C3B3F5">
      <w:pPr>
        <w:pStyle w:val="2"/>
        <w:jc w:val="center"/>
        <w:rPr>
          <w:rStyle w:val="31"/>
          <w:rFonts w:hint="eastAsia" w:ascii="方正小标宋_GBK" w:hAnsi="方正小标宋_GBK" w:eastAsia="方正小标宋_GBK" w:cs="方正小标宋_GBK"/>
          <w:b/>
          <w:bCs w:val="0"/>
          <w:color w:val="auto"/>
          <w:highlight w:val="none"/>
        </w:rPr>
      </w:pPr>
      <w:r>
        <w:rPr>
          <w:rFonts w:hint="eastAsia" w:ascii="方正小标宋_GBK" w:hAnsi="方正小标宋_GBK" w:eastAsia="方正小标宋_GBK" w:cs="方正小标宋_GBK"/>
          <w:b w:val="0"/>
          <w:color w:val="auto"/>
          <w:highlight w:val="none"/>
        </w:rPr>
        <w:t>第一部分</w:t>
      </w:r>
      <w:r>
        <w:rPr>
          <w:rFonts w:hint="eastAsia" w:ascii="方正小标宋_GBK" w:hAnsi="方正小标宋_GBK" w:eastAsia="方正小标宋_GBK" w:cs="方正小标宋_GBK"/>
          <w:b w:val="0"/>
          <w:color w:val="auto"/>
          <w:highlight w:val="none"/>
          <w:lang w:val="en-US" w:eastAsia="zh-CN"/>
        </w:rPr>
        <w:t xml:space="preserve"> </w:t>
      </w:r>
      <w:r>
        <w:rPr>
          <w:rFonts w:hint="eastAsia" w:ascii="方正小标宋_GBK" w:hAnsi="方正小标宋_GBK" w:eastAsia="方正小标宋_GBK" w:cs="方正小标宋_GBK"/>
          <w:b w:val="0"/>
          <w:color w:val="auto"/>
          <w:highlight w:val="none"/>
        </w:rPr>
        <w:t xml:space="preserve"> </w:t>
      </w:r>
      <w:r>
        <w:rPr>
          <w:rStyle w:val="31"/>
          <w:rFonts w:hint="eastAsia" w:ascii="方正小标宋_GBK" w:hAnsi="方正小标宋_GBK" w:eastAsia="方正小标宋_GBK" w:cs="方正小标宋_GBK"/>
          <w:b w:val="0"/>
          <w:bCs w:val="0"/>
          <w:color w:val="auto"/>
          <w:highlight w:val="none"/>
        </w:rPr>
        <w:t>部门概况</w:t>
      </w:r>
      <w:bookmarkEnd w:id="12"/>
      <w:bookmarkEnd w:id="13"/>
    </w:p>
    <w:p w14:paraId="3216816A">
      <w:pPr>
        <w:pStyle w:val="3"/>
        <w:pageBreakBefore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hint="default" w:ascii="Times New Roman" w:hAnsi="Times New Roman" w:eastAsia="黑体" w:cs="Times New Roman"/>
          <w:b w:val="0"/>
          <w:color w:val="auto"/>
          <w:highlight w:val="none"/>
          <w:lang w:eastAsia="zh-CN"/>
        </w:rPr>
      </w:pPr>
      <w:r>
        <w:rPr>
          <w:rFonts w:hint="default" w:ascii="Times New Roman" w:hAnsi="Times New Roman" w:eastAsia="黑体" w:cs="Times New Roman"/>
          <w:b w:val="0"/>
          <w:color w:val="auto"/>
          <w:highlight w:val="none"/>
          <w:lang w:val="en-US" w:eastAsia="zh-CN"/>
        </w:rPr>
        <w:t>一、</w:t>
      </w:r>
      <w:r>
        <w:rPr>
          <w:rFonts w:hint="default" w:ascii="Times New Roman" w:hAnsi="Times New Roman" w:eastAsia="黑体" w:cs="Times New Roman"/>
          <w:b w:val="0"/>
          <w:color w:val="auto"/>
          <w:highlight w:val="none"/>
          <w:lang w:eastAsia="zh-CN"/>
        </w:rPr>
        <w:t>部门职责</w:t>
      </w:r>
    </w:p>
    <w:p w14:paraId="1DB20297">
      <w:pPr>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color w:val="auto"/>
          <w:sz w:val="32"/>
          <w:szCs w:val="32"/>
          <w:lang w:eastAsia="zh-CN"/>
        </w:rPr>
        <w:t>四川省攀枝花市社会保险事务中心</w:t>
      </w:r>
      <w:r>
        <w:rPr>
          <w:rFonts w:hint="default" w:ascii="Times New Roman" w:hAnsi="Times New Roman" w:eastAsia="仿宋_GB2312" w:cs="Times New Roman"/>
          <w:kern w:val="0"/>
          <w:sz w:val="32"/>
          <w:szCs w:val="32"/>
          <w:lang w:eastAsia="zh-CN"/>
        </w:rPr>
        <w:t>承担城镇企业职工、灵活就业人员、机关事业单位职工养老保险以及工伤保险参保登记、申报工作；</w:t>
      </w:r>
      <w:r>
        <w:rPr>
          <w:rFonts w:hint="default" w:ascii="Times New Roman" w:hAnsi="Times New Roman" w:eastAsia="仿宋_GB2312" w:cs="Times New Roman"/>
          <w:kern w:val="0"/>
          <w:sz w:val="32"/>
          <w:szCs w:val="32"/>
          <w:lang w:val="en-US" w:eastAsia="zh-CN"/>
        </w:rPr>
        <w:t>负责</w:t>
      </w:r>
      <w:r>
        <w:rPr>
          <w:rFonts w:hint="default" w:ascii="Times New Roman" w:hAnsi="Times New Roman" w:eastAsia="仿宋_GB2312" w:cs="Times New Roman"/>
          <w:kern w:val="0"/>
          <w:sz w:val="32"/>
          <w:szCs w:val="32"/>
          <w:lang w:eastAsia="zh-CN"/>
        </w:rPr>
        <w:t>个人权益记录、核定并按时支付各类人员养老保险及工伤保险待遇；负责城镇各类用人单位职工基本养老、工伤的稽核及待遇支付等工作；负责组织实施全市征地农转非人员社会保障工作；承担工伤保险经办及劳动能力鉴定服务工作；指导各县（区）社保经办机构开展相关工作。</w:t>
      </w:r>
    </w:p>
    <w:p w14:paraId="01D53E4F">
      <w:pPr>
        <w:pStyle w:val="3"/>
        <w:pageBreakBefore w:val="0"/>
        <w:kinsoku/>
        <w:wordWrap/>
        <w:overflowPunct/>
        <w:topLinePunct w:val="0"/>
        <w:autoSpaceDE/>
        <w:autoSpaceDN/>
        <w:bidi w:val="0"/>
        <w:adjustRightInd/>
        <w:snapToGrid/>
        <w:spacing w:before="0" w:after="0" w:line="600" w:lineRule="exact"/>
        <w:ind w:firstLine="640" w:firstLineChars="200"/>
        <w:textAlignment w:val="auto"/>
        <w:rPr>
          <w:rStyle w:val="32"/>
          <w:rFonts w:hint="default" w:ascii="Times New Roman" w:hAnsi="Times New Roman" w:cs="Times New Roman"/>
          <w:b w:val="0"/>
          <w:bCs w:val="0"/>
          <w:color w:val="auto"/>
          <w:highlight w:val="none"/>
        </w:rPr>
      </w:pPr>
      <w:bookmarkStart w:id="14" w:name="_Toc15396601"/>
      <w:bookmarkStart w:id="15" w:name="_Toc15377200"/>
      <w:r>
        <w:rPr>
          <w:rFonts w:hint="default" w:ascii="Times New Roman" w:hAnsi="Times New Roman" w:eastAsia="黑体" w:cs="Times New Roman"/>
          <w:b w:val="0"/>
          <w:color w:val="auto"/>
          <w:highlight w:val="none"/>
        </w:rPr>
        <w:t>二、机</w:t>
      </w:r>
      <w:r>
        <w:rPr>
          <w:rStyle w:val="32"/>
          <w:rFonts w:hint="default" w:ascii="Times New Roman" w:hAnsi="Times New Roman" w:eastAsia="黑体" w:cs="Times New Roman"/>
          <w:b w:val="0"/>
          <w:bCs w:val="0"/>
          <w:color w:val="auto"/>
          <w:highlight w:val="none"/>
        </w:rPr>
        <w:t>构设置</w:t>
      </w:r>
      <w:bookmarkEnd w:id="14"/>
      <w:bookmarkEnd w:id="15"/>
    </w:p>
    <w:p w14:paraId="637975F3">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shd w:val="clear" w:color="auto" w:fill="auto"/>
          <w:lang w:val="en-US" w:eastAsia="zh-CN" w:bidi="ar-SA"/>
        </w:rPr>
      </w:pPr>
      <w:r>
        <w:rPr>
          <w:rFonts w:hint="default" w:ascii="Times New Roman" w:hAnsi="Times New Roman" w:eastAsia="仿宋_GB2312" w:cs="Times New Roman"/>
          <w:color w:val="auto"/>
          <w:sz w:val="32"/>
          <w:szCs w:val="32"/>
          <w:highlight w:val="none"/>
        </w:rPr>
        <w:t>四川省攀枝花市社会保险事务中心</w:t>
      </w:r>
      <w:r>
        <w:rPr>
          <w:rFonts w:hint="default" w:ascii="Times New Roman" w:hAnsi="Times New Roman" w:eastAsia="仿宋_GB2312" w:cs="Times New Roman"/>
          <w:sz w:val="32"/>
          <w:szCs w:val="32"/>
        </w:rPr>
        <w:t>为根据原省人事厅《关于批准攀枝花市机关事务管理局等39个市属事业单位参照公务员法管理的函》（川人函〔2009〕68号）批准的参照公务员法管理事业单位</w:t>
      </w:r>
      <w:r>
        <w:rPr>
          <w:rFonts w:hint="default" w:ascii="Times New Roman" w:hAnsi="Times New Roman" w:eastAsia="仿宋_GB2312" w:cs="Times New Roman"/>
          <w:sz w:val="32"/>
          <w:szCs w:val="32"/>
          <w:lang w:eastAsia="zh-CN"/>
        </w:rPr>
        <w:t>。</w:t>
      </w:r>
    </w:p>
    <w:p w14:paraId="69A78944">
      <w:pPr>
        <w:pStyle w:val="2"/>
        <w:pageBreakBefore w:val="0"/>
        <w:kinsoku/>
        <w:wordWrap/>
        <w:overflowPunct/>
        <w:topLinePunct w:val="0"/>
        <w:autoSpaceDE/>
        <w:autoSpaceDN/>
        <w:bidi w:val="0"/>
        <w:adjustRightInd/>
        <w:snapToGrid/>
        <w:spacing w:before="0" w:after="0" w:line="600" w:lineRule="exact"/>
        <w:jc w:val="center"/>
        <w:textAlignment w:val="auto"/>
        <w:rPr>
          <w:rFonts w:hint="default" w:ascii="Times New Roman" w:hAnsi="Times New Roman" w:eastAsia="方正小标宋简体" w:cs="Times New Roman"/>
          <w:b w:val="0"/>
          <w:color w:val="auto"/>
          <w:highlight w:val="none"/>
        </w:rPr>
      </w:pPr>
      <w:bookmarkStart w:id="16" w:name="_Toc15377204"/>
      <w:bookmarkStart w:id="17" w:name="_Toc15396602"/>
    </w:p>
    <w:p w14:paraId="21D7EDAA">
      <w:pPr>
        <w:rPr>
          <w:rFonts w:hint="default" w:ascii="Times New Roman" w:hAnsi="Times New Roman" w:eastAsia="方正小标宋简体" w:cs="Times New Roman"/>
          <w:b w:val="0"/>
          <w:color w:val="auto"/>
          <w:highlight w:val="none"/>
        </w:rPr>
      </w:pPr>
    </w:p>
    <w:p w14:paraId="6BB1DB82">
      <w:pPr>
        <w:rPr>
          <w:rFonts w:hint="default" w:ascii="Times New Roman" w:hAnsi="Times New Roman" w:eastAsia="方正小标宋简体" w:cs="Times New Roman"/>
          <w:b w:val="0"/>
          <w:color w:val="auto"/>
          <w:highlight w:val="none"/>
        </w:rPr>
      </w:pPr>
    </w:p>
    <w:p w14:paraId="6FEF688C">
      <w:pPr>
        <w:rPr>
          <w:rFonts w:hint="default" w:ascii="Times New Roman" w:hAnsi="Times New Roman" w:eastAsia="方正小标宋简体" w:cs="Times New Roman"/>
          <w:b w:val="0"/>
          <w:color w:val="auto"/>
          <w:highlight w:val="none"/>
        </w:rPr>
      </w:pPr>
    </w:p>
    <w:p w14:paraId="6925DC84">
      <w:pPr>
        <w:rPr>
          <w:rFonts w:hint="default" w:ascii="Times New Roman" w:hAnsi="Times New Roman" w:eastAsia="方正小标宋简体" w:cs="Times New Roman"/>
          <w:b w:val="0"/>
          <w:color w:val="auto"/>
          <w:highlight w:val="none"/>
        </w:rPr>
      </w:pPr>
    </w:p>
    <w:p w14:paraId="5B30D8BC">
      <w:pPr>
        <w:rPr>
          <w:rFonts w:hint="default" w:ascii="Times New Roman" w:hAnsi="Times New Roman" w:eastAsia="方正小标宋简体" w:cs="Times New Roman"/>
          <w:b w:val="0"/>
          <w:color w:val="auto"/>
          <w:highlight w:val="none"/>
        </w:rPr>
      </w:pPr>
    </w:p>
    <w:p w14:paraId="1D86A5EA">
      <w:pPr>
        <w:rPr>
          <w:rFonts w:hint="default" w:ascii="Times New Roman" w:hAnsi="Times New Roman" w:eastAsia="方正小标宋简体" w:cs="Times New Roman"/>
          <w:b w:val="0"/>
          <w:color w:val="auto"/>
          <w:highlight w:val="none"/>
        </w:rPr>
      </w:pPr>
    </w:p>
    <w:p w14:paraId="6BDC5E1D">
      <w:pPr>
        <w:pStyle w:val="2"/>
        <w:jc w:val="center"/>
        <w:rPr>
          <w:rFonts w:hint="eastAsia" w:ascii="方正小标宋_GBK" w:hAnsi="方正小标宋_GBK" w:eastAsia="方正小标宋_GBK" w:cs="方正小标宋_GBK"/>
          <w:b w:val="0"/>
          <w:color w:val="auto"/>
          <w:highlight w:val="none"/>
        </w:rPr>
      </w:pPr>
      <w:r>
        <w:rPr>
          <w:rFonts w:hint="eastAsia" w:ascii="方正小标宋_GBK" w:hAnsi="方正小标宋_GBK" w:eastAsia="方正小标宋_GBK" w:cs="方正小标宋_GBK"/>
          <w:b w:val="0"/>
          <w:color w:val="auto"/>
          <w:highlight w:val="none"/>
        </w:rPr>
        <w:t>第二部分</w:t>
      </w:r>
      <w:r>
        <w:rPr>
          <w:rFonts w:hint="eastAsia" w:ascii="方正小标宋_GBK" w:hAnsi="方正小标宋_GBK" w:eastAsia="方正小标宋_GBK" w:cs="方正小标宋_GBK"/>
          <w:b w:val="0"/>
          <w:color w:val="auto"/>
          <w:highlight w:val="none"/>
          <w:lang w:val="en-US" w:eastAsia="zh-CN"/>
        </w:rPr>
        <w:t xml:space="preserve"> </w:t>
      </w:r>
      <w:r>
        <w:rPr>
          <w:rFonts w:hint="eastAsia" w:ascii="方正小标宋_GBK" w:hAnsi="方正小标宋_GBK" w:eastAsia="方正小标宋_GBK" w:cs="方正小标宋_GBK"/>
          <w:b w:val="0"/>
          <w:color w:val="auto"/>
          <w:highlight w:val="none"/>
        </w:rPr>
        <w:t xml:space="preserve"> </w:t>
      </w:r>
      <w:r>
        <w:rPr>
          <w:rFonts w:hint="eastAsia" w:ascii="方正小标宋_GBK" w:hAnsi="方正小标宋_GBK" w:eastAsia="方正小标宋_GBK" w:cs="方正小标宋_GBK"/>
          <w:b w:val="0"/>
          <w:color w:val="auto"/>
          <w:highlight w:val="none"/>
          <w:lang w:val="en-US" w:eastAsia="zh-CN"/>
        </w:rPr>
        <w:t>2024年度</w:t>
      </w:r>
      <w:r>
        <w:rPr>
          <w:rFonts w:hint="eastAsia" w:ascii="方正小标宋_GBK" w:hAnsi="方正小标宋_GBK" w:eastAsia="方正小标宋_GBK" w:cs="方正小标宋_GBK"/>
          <w:b w:val="0"/>
          <w:color w:val="auto"/>
          <w:highlight w:val="none"/>
        </w:rPr>
        <w:t>部门决算情况说明</w:t>
      </w:r>
      <w:bookmarkEnd w:id="16"/>
      <w:bookmarkEnd w:id="17"/>
    </w:p>
    <w:p w14:paraId="3548755A">
      <w:pPr>
        <w:rPr>
          <w:rFonts w:hint="default" w:ascii="Times New Roman" w:hAnsi="Times New Roman" w:cs="Times New Roman"/>
          <w:color w:val="auto"/>
          <w:highlight w:val="none"/>
        </w:rPr>
      </w:pPr>
    </w:p>
    <w:p w14:paraId="7345556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18" w:name="_Toc15377205"/>
      <w:bookmarkStart w:id="19" w:name="_Toc15396603"/>
      <w:r>
        <w:rPr>
          <w:rFonts w:hint="default" w:ascii="Times New Roman" w:hAnsi="Times New Roman" w:eastAsia="黑体" w:cs="Times New Roman"/>
          <w:color w:val="auto"/>
          <w:sz w:val="32"/>
          <w:szCs w:val="32"/>
          <w:highlight w:val="none"/>
          <w:lang w:eastAsia="zh-CN"/>
        </w:rPr>
        <w:t>一、</w:t>
      </w:r>
      <w:r>
        <w:rPr>
          <w:rFonts w:hint="default" w:ascii="Times New Roman" w:hAnsi="Times New Roman" w:eastAsia="黑体" w:cs="Times New Roman"/>
          <w:color w:val="auto"/>
          <w:sz w:val="32"/>
          <w:szCs w:val="32"/>
          <w:highlight w:val="none"/>
        </w:rPr>
        <w:t>收</w:t>
      </w:r>
      <w:r>
        <w:rPr>
          <w:rStyle w:val="32"/>
          <w:rFonts w:hint="default" w:ascii="Times New Roman" w:hAnsi="Times New Roman" w:eastAsia="黑体" w:cs="Times New Roman"/>
          <w:b w:val="0"/>
          <w:color w:val="auto"/>
          <w:highlight w:val="none"/>
        </w:rPr>
        <w:t>入支出决算总体情况说明</w:t>
      </w:r>
      <w:bookmarkEnd w:id="18"/>
      <w:bookmarkEnd w:id="19"/>
    </w:p>
    <w:p w14:paraId="2CF0C3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年度收、支总计</w:t>
      </w:r>
      <w:r>
        <w:rPr>
          <w:rFonts w:hint="default" w:ascii="Times New Roman" w:hAnsi="Times New Roman" w:eastAsia="仿宋" w:cs="Times New Roman"/>
          <w:color w:val="auto"/>
          <w:sz w:val="32"/>
          <w:szCs w:val="32"/>
          <w:highlight w:val="none"/>
          <w:lang w:eastAsia="zh-CN"/>
        </w:rPr>
        <w:t>均为</w:t>
      </w:r>
      <w:r>
        <w:rPr>
          <w:rFonts w:hint="default" w:ascii="Times New Roman" w:hAnsi="Times New Roman" w:eastAsia="仿宋" w:cs="Times New Roman"/>
          <w:color w:val="auto"/>
          <w:sz w:val="32"/>
          <w:szCs w:val="32"/>
          <w:highlight w:val="none"/>
          <w:lang w:val="en-US" w:eastAsia="zh-CN"/>
        </w:rPr>
        <w:t>1482.05万元</w:t>
      </w:r>
      <w:r>
        <w:rPr>
          <w:rFonts w:hint="default" w:ascii="Times New Roman" w:hAnsi="Times New Roman" w:eastAsia="仿宋" w:cs="Times New Roman"/>
          <w:color w:val="auto"/>
          <w:sz w:val="32"/>
          <w:szCs w:val="32"/>
          <w:highlight w:val="none"/>
        </w:rPr>
        <w:t>。与</w:t>
      </w: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w:t>
      </w:r>
      <w:r>
        <w:rPr>
          <w:rFonts w:hint="default" w:ascii="Times New Roman" w:hAnsi="Times New Roman" w:eastAsia="仿宋" w:cs="Times New Roman"/>
          <w:color w:val="auto"/>
          <w:sz w:val="32"/>
          <w:szCs w:val="32"/>
          <w:highlight w:val="none"/>
          <w:lang w:eastAsia="zh-CN"/>
        </w:rPr>
        <w:t>度</w:t>
      </w:r>
      <w:r>
        <w:rPr>
          <w:rFonts w:hint="default" w:ascii="Times New Roman" w:hAnsi="Times New Roman" w:eastAsia="仿宋" w:cs="Times New Roman"/>
          <w:color w:val="auto"/>
          <w:sz w:val="32"/>
          <w:szCs w:val="32"/>
          <w:highlight w:val="none"/>
        </w:rPr>
        <w:t>相比，收、支总计各</w:t>
      </w:r>
      <w:r>
        <w:rPr>
          <w:rFonts w:hint="default" w:ascii="Times New Roman" w:hAnsi="Times New Roman" w:eastAsia="仿宋" w:cs="Times New Roman"/>
          <w:color w:val="auto"/>
          <w:sz w:val="32"/>
          <w:szCs w:val="32"/>
          <w:highlight w:val="none"/>
          <w:lang w:eastAsia="zh-CN"/>
        </w:rPr>
        <w:t>减少</w:t>
      </w:r>
      <w:r>
        <w:rPr>
          <w:rFonts w:hint="default" w:ascii="Times New Roman" w:hAnsi="Times New Roman" w:eastAsia="仿宋" w:cs="Times New Roman"/>
          <w:color w:val="auto"/>
          <w:sz w:val="32"/>
          <w:szCs w:val="32"/>
          <w:highlight w:val="none"/>
          <w:lang w:val="en-US" w:eastAsia="zh-CN"/>
        </w:rPr>
        <w:t>73.86</w:t>
      </w:r>
      <w:r>
        <w:rPr>
          <w:rFonts w:hint="default" w:ascii="Times New Roman" w:hAnsi="Times New Roman" w:eastAsia="仿宋" w:cs="Times New Roman"/>
          <w:color w:val="auto"/>
          <w:sz w:val="32"/>
          <w:szCs w:val="32"/>
          <w:highlight w:val="none"/>
          <w:lang w:eastAsia="zh-CN"/>
        </w:rPr>
        <w:t>万元，下降</w:t>
      </w:r>
      <w:r>
        <w:rPr>
          <w:rFonts w:hint="default" w:ascii="Times New Roman" w:hAnsi="Times New Roman" w:eastAsia="仿宋" w:cs="Times New Roman"/>
          <w:color w:val="auto"/>
          <w:sz w:val="32"/>
          <w:szCs w:val="32"/>
          <w:highlight w:val="none"/>
          <w:lang w:val="en-US" w:eastAsia="zh-CN"/>
        </w:rPr>
        <w:t>4.75</w:t>
      </w:r>
      <w:r>
        <w:rPr>
          <w:rFonts w:hint="default" w:ascii="Times New Roman" w:hAnsi="Times New Roman" w:eastAsia="仿宋" w:cs="Times New Roman"/>
          <w:color w:val="auto"/>
          <w:sz w:val="32"/>
          <w:szCs w:val="32"/>
          <w:highlight w:val="none"/>
          <w:lang w:eastAsia="zh-CN"/>
        </w:rPr>
        <w:t>%。主要变动原因是人员经费减少</w:t>
      </w:r>
      <w:r>
        <w:rPr>
          <w:rFonts w:hint="default" w:ascii="Times New Roman" w:hAnsi="Times New Roman" w:eastAsia="仿宋" w:cs="Times New Roman"/>
          <w:color w:val="auto"/>
          <w:sz w:val="32"/>
          <w:szCs w:val="32"/>
          <w:highlight w:val="none"/>
          <w:lang w:val="en-US" w:eastAsia="zh-CN"/>
        </w:rPr>
        <w:t>。</w:t>
      </w:r>
    </w:p>
    <w:p w14:paraId="4408A47D">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cs="Times New Roman"/>
        </w:rPr>
        <w:drawing>
          <wp:inline distT="0" distB="0" distL="114300" distR="114300">
            <wp:extent cx="4826000" cy="2743200"/>
            <wp:effectExtent l="4445" t="4445" r="8255" b="14605"/>
            <wp:docPr id="2" name="图表 1" descr="7b0a202020202263686172745265734964223a202235303035333432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EC4102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ascii="Times New Roman" w:hAnsi="Times New Roman" w:eastAsia="黑体" w:cs="Times New Roman"/>
          <w:color w:val="auto"/>
          <w:sz w:val="32"/>
          <w:szCs w:val="32"/>
          <w:highlight w:val="none"/>
          <w:lang w:eastAsia="zh-CN"/>
        </w:rPr>
      </w:pPr>
      <w:bookmarkStart w:id="20" w:name="_Toc15377206"/>
      <w:bookmarkStart w:id="21" w:name="_Toc15396604"/>
      <w:r>
        <w:rPr>
          <w:rFonts w:hint="default" w:ascii="Times New Roman" w:hAnsi="Times New Roman" w:eastAsia="黑体" w:cs="Times New Roman"/>
          <w:color w:val="auto"/>
          <w:sz w:val="32"/>
          <w:szCs w:val="32"/>
          <w:highlight w:val="none"/>
          <w:lang w:eastAsia="zh-CN"/>
        </w:rPr>
        <w:t>二、收入决算情况说明</w:t>
      </w:r>
      <w:bookmarkEnd w:id="20"/>
      <w:bookmarkEnd w:id="21"/>
    </w:p>
    <w:p w14:paraId="681B28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eastAsia="zh-CN"/>
        </w:rPr>
        <w:t>202</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年</w:t>
      </w:r>
      <w:r>
        <w:rPr>
          <w:rFonts w:hint="default" w:ascii="Times New Roman" w:hAnsi="Times New Roman" w:eastAsia="仿宋" w:cs="Times New Roman"/>
          <w:color w:val="auto"/>
          <w:sz w:val="32"/>
          <w:szCs w:val="32"/>
          <w:highlight w:val="none"/>
          <w:lang w:eastAsia="zh-CN"/>
        </w:rPr>
        <w:t>度</w:t>
      </w:r>
      <w:r>
        <w:rPr>
          <w:rFonts w:hint="default" w:ascii="Times New Roman" w:hAnsi="Times New Roman" w:eastAsia="仿宋" w:cs="Times New Roman"/>
          <w:color w:val="auto"/>
          <w:sz w:val="32"/>
          <w:szCs w:val="32"/>
          <w:highlight w:val="none"/>
        </w:rPr>
        <w:t>本年收入合计</w:t>
      </w:r>
      <w:r>
        <w:rPr>
          <w:rFonts w:hint="default" w:ascii="Times New Roman" w:hAnsi="Times New Roman" w:eastAsia="仿宋" w:cs="Times New Roman"/>
          <w:color w:val="auto"/>
          <w:sz w:val="32"/>
          <w:szCs w:val="32"/>
          <w:highlight w:val="none"/>
          <w:lang w:val="en-US" w:eastAsia="zh-CN"/>
        </w:rPr>
        <w:t>1482.05</w:t>
      </w:r>
      <w:r>
        <w:rPr>
          <w:rFonts w:hint="default" w:ascii="Times New Roman" w:hAnsi="Times New Roman" w:eastAsia="仿宋" w:cs="Times New Roman"/>
          <w:color w:val="auto"/>
          <w:sz w:val="32"/>
          <w:szCs w:val="32"/>
          <w:highlight w:val="none"/>
        </w:rPr>
        <w:t>万元，其中：一般公共预算财政拨款收入</w:t>
      </w:r>
      <w:r>
        <w:rPr>
          <w:rFonts w:hint="default" w:ascii="Times New Roman" w:hAnsi="Times New Roman" w:eastAsia="仿宋" w:cs="Times New Roman"/>
          <w:color w:val="auto"/>
          <w:sz w:val="32"/>
          <w:szCs w:val="32"/>
          <w:highlight w:val="none"/>
          <w:lang w:val="en-US" w:eastAsia="zh-CN"/>
        </w:rPr>
        <w:t>1482.02</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99.99</w:t>
      </w:r>
      <w:r>
        <w:rPr>
          <w:rFonts w:hint="default" w:ascii="Times New Roman" w:hAnsi="Times New Roman" w:eastAsia="仿宋" w:cs="Times New Roman"/>
          <w:color w:val="auto"/>
          <w:sz w:val="32"/>
          <w:szCs w:val="32"/>
          <w:highlight w:val="none"/>
        </w:rPr>
        <w:t>%；政府性基金预算财政拨款收入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eastAsia="zh-CN"/>
        </w:rPr>
        <w:t>国有资本经营预算财政拨款收入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%；上级补助收入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%；事业收入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%；经营收入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%；附属单位上缴收入</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rPr>
        <w:t>%；其他收入</w:t>
      </w:r>
      <w:r>
        <w:rPr>
          <w:rFonts w:hint="default" w:ascii="Times New Roman" w:hAnsi="Times New Roman" w:eastAsia="仿宋" w:cs="Times New Roman"/>
          <w:color w:val="auto"/>
          <w:sz w:val="32"/>
          <w:szCs w:val="32"/>
          <w:highlight w:val="none"/>
          <w:lang w:val="en-US" w:eastAsia="zh-CN"/>
        </w:rPr>
        <w:t>0.03</w:t>
      </w:r>
      <w:r>
        <w:rPr>
          <w:rFonts w:hint="default" w:ascii="Times New Roman" w:hAnsi="Times New Roman" w:eastAsia="仿宋" w:cs="Times New Roman"/>
          <w:color w:val="auto"/>
          <w:sz w:val="32"/>
          <w:szCs w:val="32"/>
          <w:highlight w:val="none"/>
        </w:rPr>
        <w:t>万元，占</w:t>
      </w:r>
      <w:r>
        <w:rPr>
          <w:rFonts w:hint="default" w:ascii="Times New Roman" w:hAnsi="Times New Roman" w:eastAsia="仿宋" w:cs="Times New Roman"/>
          <w:color w:val="auto"/>
          <w:sz w:val="32"/>
          <w:szCs w:val="32"/>
          <w:highlight w:val="none"/>
          <w:lang w:val="en-US" w:eastAsia="zh-CN"/>
        </w:rPr>
        <w:t>0.01</w:t>
      </w:r>
      <w:r>
        <w:rPr>
          <w:rFonts w:hint="default" w:ascii="Times New Roman" w:hAnsi="Times New Roman" w:eastAsia="仿宋" w:cs="Times New Roman"/>
          <w:color w:val="auto"/>
          <w:sz w:val="32"/>
          <w:szCs w:val="32"/>
          <w:highlight w:val="none"/>
        </w:rPr>
        <w:t>%。</w:t>
      </w:r>
    </w:p>
    <w:p w14:paraId="0FCE5888">
      <w:pPr>
        <w:ind w:firstLine="800" w:firstLineChars="250"/>
        <w:rPr>
          <w:rFonts w:hint="default" w:ascii="Times New Roman" w:hAnsi="Times New Roman" w:eastAsia="仿宋_GB2312" w:cs="Times New Roman"/>
          <w:color w:val="auto"/>
          <w:sz w:val="32"/>
          <w:szCs w:val="32"/>
          <w:highlight w:val="none"/>
          <w:lang w:eastAsia="zh-CN"/>
        </w:rPr>
      </w:pPr>
    </w:p>
    <w:p w14:paraId="6A9EBDA6">
      <w:pPr>
        <w:ind w:firstLine="525" w:firstLineChars="250"/>
        <w:jc w:val="center"/>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inline distT="0" distB="0" distL="114300" distR="114300">
            <wp:extent cx="4826000" cy="2743200"/>
            <wp:effectExtent l="4445" t="4445" r="8255" b="14605"/>
            <wp:docPr id="3" name="图表 2" descr="7b0a202020202263686172745265734964223a202232303437363838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4ADAC65">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22" w:name="_Toc15396605"/>
      <w:bookmarkStart w:id="23" w:name="_Toc15377207"/>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支</w:t>
      </w:r>
      <w:r>
        <w:rPr>
          <w:rStyle w:val="32"/>
          <w:rFonts w:hint="default" w:ascii="Times New Roman" w:hAnsi="Times New Roman" w:eastAsia="黑体" w:cs="Times New Roman"/>
          <w:b w:val="0"/>
          <w:color w:val="auto"/>
          <w:highlight w:val="none"/>
        </w:rPr>
        <w:t>出决算情况说明</w:t>
      </w:r>
      <w:bookmarkEnd w:id="22"/>
      <w:bookmarkEnd w:id="23"/>
    </w:p>
    <w:p w14:paraId="4EA5DEA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2024年度本年支出合计</w:t>
      </w:r>
      <w:r>
        <w:rPr>
          <w:rFonts w:hint="default" w:ascii="Times New Roman" w:hAnsi="Times New Roman" w:eastAsia="仿宋_GB2312" w:cs="Times New Roman"/>
          <w:sz w:val="32"/>
          <w:szCs w:val="32"/>
        </w:rPr>
        <w:t>1482.05</w:t>
      </w:r>
      <w:r>
        <w:rPr>
          <w:rFonts w:hint="default" w:ascii="Times New Roman" w:hAnsi="Times New Roman" w:eastAsia="仿宋_GB2312" w:cs="Times New Roman"/>
          <w:color w:val="auto"/>
          <w:sz w:val="32"/>
          <w:szCs w:val="32"/>
          <w:highlight w:val="none"/>
          <w:lang w:eastAsia="zh-CN"/>
        </w:rPr>
        <w:t>万元，其中：基本支出</w:t>
      </w:r>
      <w:r>
        <w:rPr>
          <w:rFonts w:hint="default" w:ascii="Times New Roman" w:hAnsi="Times New Roman" w:eastAsia="仿宋_GB2312" w:cs="Times New Roman"/>
          <w:sz w:val="32"/>
          <w:szCs w:val="32"/>
        </w:rPr>
        <w:t>1377.77</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92.96</w:t>
      </w:r>
      <w:r>
        <w:rPr>
          <w:rFonts w:hint="default" w:ascii="Times New Roman" w:hAnsi="Times New Roman" w:eastAsia="仿宋_GB2312" w:cs="Times New Roman"/>
          <w:color w:val="auto"/>
          <w:sz w:val="32"/>
          <w:szCs w:val="32"/>
          <w:highlight w:val="none"/>
          <w:lang w:eastAsia="zh-CN"/>
        </w:rPr>
        <w:t>%；项目支出</w:t>
      </w:r>
      <w:r>
        <w:rPr>
          <w:rFonts w:hint="default" w:ascii="Times New Roman" w:hAnsi="Times New Roman" w:eastAsia="仿宋_GB2312" w:cs="Times New Roman"/>
          <w:sz w:val="32"/>
          <w:szCs w:val="32"/>
        </w:rPr>
        <w:t>104.28</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7.0</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color w:val="auto"/>
          <w:sz w:val="32"/>
          <w:szCs w:val="32"/>
          <w:highlight w:val="none"/>
          <w:lang w:eastAsia="zh-CN"/>
        </w:rPr>
        <w:t>%；上缴上级支出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%；经营支出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%；对附属单位补助支出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sz w:val="32"/>
          <w:szCs w:val="32"/>
          <w:highlight w:val="none"/>
          <w:lang w:eastAsia="zh-CN"/>
        </w:rPr>
        <w:t>。</w:t>
      </w:r>
    </w:p>
    <w:p w14:paraId="3C41AFF5">
      <w:pPr>
        <w:ind w:firstLine="525" w:firstLineChars="250"/>
        <w:jc w:val="center"/>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inline distT="0" distB="0" distL="114300" distR="114300">
            <wp:extent cx="4826000" cy="2743200"/>
            <wp:effectExtent l="4445" t="4445" r="8255" b="14605"/>
            <wp:docPr id="4" name="图表 3" descr="7b0a202020202263686172745265734964223a202232303437353539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F6C69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24" w:name="_Toc15377208"/>
      <w:bookmarkStart w:id="25" w:name="_Toc15396606"/>
      <w:r>
        <w:rPr>
          <w:rFonts w:hint="default" w:ascii="Times New Roman" w:hAnsi="Times New Roman" w:eastAsia="黑体" w:cs="Times New Roman"/>
          <w:color w:val="auto"/>
          <w:sz w:val="32"/>
          <w:szCs w:val="32"/>
          <w:highlight w:val="none"/>
        </w:rPr>
        <w:t>四、财</w:t>
      </w:r>
      <w:r>
        <w:rPr>
          <w:rStyle w:val="32"/>
          <w:rFonts w:hint="default" w:ascii="Times New Roman" w:hAnsi="Times New Roman" w:eastAsia="黑体" w:cs="Times New Roman"/>
          <w:b w:val="0"/>
          <w:color w:val="auto"/>
          <w:highlight w:val="none"/>
        </w:rPr>
        <w:t>政拨款收入支出决算总体情况说明</w:t>
      </w:r>
      <w:bookmarkEnd w:id="24"/>
      <w:bookmarkEnd w:id="25"/>
    </w:p>
    <w:p w14:paraId="716351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2024年度财政拨款收入、支出总计均为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万元。与2023年度相比，财政拨款收入总计、支出总计各减少73.84万元，下降4.75%。</w:t>
      </w:r>
      <w:r>
        <w:rPr>
          <w:rFonts w:hint="default" w:ascii="Times New Roman" w:hAnsi="Times New Roman" w:eastAsia="仿宋" w:cs="Times New Roman"/>
          <w:color w:val="auto"/>
          <w:sz w:val="32"/>
          <w:szCs w:val="32"/>
          <w:highlight w:val="none"/>
          <w:lang w:eastAsia="zh-CN"/>
        </w:rPr>
        <w:t>主要变动原因是人员经费减少</w:t>
      </w:r>
      <w:r>
        <w:rPr>
          <w:rFonts w:hint="default" w:ascii="Times New Roman" w:hAnsi="Times New Roman" w:eastAsia="仿宋" w:cs="Times New Roman"/>
          <w:color w:val="auto"/>
          <w:sz w:val="32"/>
          <w:szCs w:val="32"/>
          <w:highlight w:val="none"/>
          <w:lang w:val="en-US" w:eastAsia="zh-CN"/>
        </w:rPr>
        <w:t>。</w:t>
      </w:r>
    </w:p>
    <w:p w14:paraId="7483FA14">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14605"/>
            <wp:docPr id="5" name="图表 4" descr="7b0a202020202263686172745265734964223a202232303437363334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1E69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Style w:val="32"/>
          <w:rFonts w:hint="default" w:ascii="Times New Roman" w:hAnsi="Times New Roman" w:eastAsia="黑体" w:cs="Times New Roman"/>
          <w:b w:val="0"/>
          <w:color w:val="auto"/>
          <w:highlight w:val="none"/>
        </w:rPr>
      </w:pPr>
      <w:bookmarkStart w:id="26" w:name="_Toc15377209"/>
      <w:bookmarkStart w:id="27" w:name="_Toc15396607"/>
      <w:r>
        <w:rPr>
          <w:rFonts w:hint="default" w:ascii="Times New Roman" w:hAnsi="Times New Roman" w:eastAsia="黑体" w:cs="Times New Roman"/>
          <w:color w:val="auto"/>
          <w:sz w:val="32"/>
          <w:szCs w:val="32"/>
          <w:highlight w:val="none"/>
        </w:rPr>
        <w:t>五、</w:t>
      </w:r>
      <w:r>
        <w:rPr>
          <w:rFonts w:hint="default" w:ascii="Times New Roman" w:hAnsi="Times New Roman" w:eastAsia="黑体" w:cs="Times New Roman"/>
          <w:b/>
          <w:color w:val="auto"/>
          <w:sz w:val="32"/>
          <w:szCs w:val="32"/>
          <w:highlight w:val="none"/>
        </w:rPr>
        <w:t>一</w:t>
      </w:r>
      <w:r>
        <w:rPr>
          <w:rStyle w:val="32"/>
          <w:rFonts w:hint="default" w:ascii="Times New Roman" w:hAnsi="Times New Roman" w:eastAsia="黑体" w:cs="Times New Roman"/>
          <w:b w:val="0"/>
          <w:color w:val="auto"/>
          <w:highlight w:val="none"/>
        </w:rPr>
        <w:t>般公共预算财政拨款支出决算情况说明</w:t>
      </w:r>
      <w:bookmarkEnd w:id="26"/>
      <w:bookmarkEnd w:id="27"/>
    </w:p>
    <w:p w14:paraId="247EAB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28" w:name="_Toc15377210"/>
      <w:r>
        <w:rPr>
          <w:rFonts w:hint="default" w:ascii="Times New Roman" w:hAnsi="Times New Roman" w:eastAsia="楷体_GB2312" w:cs="Times New Roman"/>
          <w:b/>
          <w:color w:val="auto"/>
          <w:sz w:val="32"/>
          <w:szCs w:val="32"/>
          <w:highlight w:val="none"/>
        </w:rPr>
        <w:t>（一）一般公共预算财政拨款支出决算总体情况</w:t>
      </w:r>
      <w:bookmarkEnd w:id="28"/>
    </w:p>
    <w:p w14:paraId="7C39FF1D">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万元，占本年支出合计的</w:t>
      </w:r>
      <w:r>
        <w:rPr>
          <w:rFonts w:hint="default" w:ascii="Times New Roman" w:hAnsi="Times New Roman" w:eastAsia="仿宋_GB2312" w:cs="Times New Roman"/>
          <w:sz w:val="32"/>
          <w:szCs w:val="32"/>
        </w:rPr>
        <w:t>99.99</w:t>
      </w:r>
      <w:r>
        <w:rPr>
          <w:rFonts w:hint="default" w:ascii="Times New Roman" w:hAnsi="Times New Roman" w:eastAsia="仿宋_GB2312" w:cs="Times New Roman"/>
          <w:color w:val="auto"/>
          <w:kern w:val="2"/>
          <w:sz w:val="32"/>
          <w:szCs w:val="32"/>
          <w:highlight w:val="none"/>
          <w:lang w:val="en-US" w:eastAsia="zh-CN" w:bidi="ar-SA"/>
        </w:rPr>
        <w:t>%。与2023年度相比，一般公共预算财政拨款支出减少73.84万元，下降4.75%。</w:t>
      </w:r>
      <w:r>
        <w:rPr>
          <w:rFonts w:hint="default" w:ascii="Times New Roman" w:hAnsi="Times New Roman" w:eastAsia="仿宋" w:cs="Times New Roman"/>
          <w:color w:val="auto"/>
          <w:sz w:val="32"/>
          <w:szCs w:val="32"/>
          <w:highlight w:val="none"/>
          <w:lang w:eastAsia="zh-CN"/>
        </w:rPr>
        <w:t>主要变动原因是人员经费减少。</w:t>
      </w:r>
    </w:p>
    <w:p w14:paraId="5C4FF519">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14605"/>
            <wp:docPr id="6" name="图表 4" descr="7b0a202020202263686172745265734964223a20223230343736383038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E66E3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29" w:name="_Toc15377211"/>
      <w:r>
        <w:rPr>
          <w:rFonts w:hint="default" w:ascii="Times New Roman" w:hAnsi="Times New Roman" w:eastAsia="楷体_GB2312" w:cs="Times New Roman"/>
          <w:b/>
          <w:color w:val="auto"/>
          <w:sz w:val="32"/>
          <w:szCs w:val="32"/>
          <w:highlight w:val="none"/>
        </w:rPr>
        <w:t>（二）一般公共预算财政拨款支出决算结构情况</w:t>
      </w:r>
      <w:bookmarkEnd w:id="29"/>
    </w:p>
    <w:p w14:paraId="4B7AEF35">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b w:val="0"/>
          <w:bCs/>
          <w:color w:val="auto"/>
          <w:sz w:val="32"/>
          <w:szCs w:val="32"/>
          <w:highlight w:val="none"/>
          <w:lang w:eastAsia="zh-CN"/>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万元，主要用于以下方面：</w:t>
      </w:r>
      <w:r>
        <w:rPr>
          <w:rFonts w:hint="default" w:ascii="Times New Roman" w:hAnsi="Times New Roman" w:eastAsia="仿宋" w:cs="Times New Roman"/>
          <w:b/>
          <w:color w:val="auto"/>
          <w:sz w:val="32"/>
          <w:szCs w:val="32"/>
          <w:highlight w:val="none"/>
        </w:rPr>
        <w:t>社会保障和就业支出</w:t>
      </w:r>
      <w:r>
        <w:rPr>
          <w:rFonts w:hint="default" w:ascii="Times New Roman" w:hAnsi="Times New Roman" w:eastAsia="仿宋" w:cs="Times New Roman"/>
          <w:b w:val="0"/>
          <w:bCs/>
          <w:color w:val="auto"/>
          <w:sz w:val="32"/>
          <w:szCs w:val="32"/>
          <w:highlight w:val="none"/>
        </w:rPr>
        <w:t>13</w:t>
      </w:r>
      <w:r>
        <w:rPr>
          <w:rFonts w:hint="default" w:ascii="Times New Roman" w:hAnsi="Times New Roman" w:eastAsia="仿宋" w:cs="Times New Roman"/>
          <w:b w:val="0"/>
          <w:bCs/>
          <w:color w:val="auto"/>
          <w:sz w:val="32"/>
          <w:szCs w:val="32"/>
          <w:highlight w:val="none"/>
          <w:lang w:val="en-US" w:eastAsia="zh-CN"/>
        </w:rPr>
        <w:t>12.96</w:t>
      </w:r>
      <w:r>
        <w:rPr>
          <w:rFonts w:hint="default" w:ascii="Times New Roman" w:hAnsi="Times New Roman" w:eastAsia="仿宋" w:cs="Times New Roman"/>
          <w:b w:val="0"/>
          <w:bCs/>
          <w:color w:val="auto"/>
          <w:sz w:val="32"/>
          <w:szCs w:val="32"/>
          <w:highlight w:val="none"/>
        </w:rPr>
        <w:t>万元，占</w:t>
      </w:r>
      <w:r>
        <w:rPr>
          <w:rFonts w:hint="default" w:ascii="Times New Roman" w:hAnsi="Times New Roman" w:eastAsia="仿宋" w:cs="Times New Roman"/>
          <w:b w:val="0"/>
          <w:bCs/>
          <w:color w:val="auto"/>
          <w:sz w:val="32"/>
          <w:szCs w:val="32"/>
          <w:highlight w:val="none"/>
          <w:lang w:val="en-US" w:eastAsia="zh-CN"/>
        </w:rPr>
        <w:t>88.59</w:t>
      </w:r>
      <w:r>
        <w:rPr>
          <w:rFonts w:hint="default" w:ascii="Times New Roman" w:hAnsi="Times New Roman" w:eastAsia="仿宋" w:cs="Times New Roman"/>
          <w:b w:val="0"/>
          <w:bCs/>
          <w:color w:val="auto"/>
          <w:sz w:val="32"/>
          <w:szCs w:val="32"/>
          <w:highlight w:val="none"/>
        </w:rPr>
        <w:t>%；</w:t>
      </w:r>
      <w:r>
        <w:rPr>
          <w:rFonts w:hint="default" w:ascii="Times New Roman" w:hAnsi="Times New Roman" w:eastAsia="仿宋" w:cs="Times New Roman"/>
          <w:b/>
          <w:color w:val="auto"/>
          <w:sz w:val="32"/>
          <w:szCs w:val="32"/>
          <w:highlight w:val="none"/>
        </w:rPr>
        <w:t>卫生健康支出</w:t>
      </w:r>
      <w:r>
        <w:rPr>
          <w:rFonts w:hint="default" w:ascii="Times New Roman" w:hAnsi="Times New Roman" w:eastAsia="仿宋" w:cs="Times New Roman"/>
          <w:b w:val="0"/>
          <w:bCs/>
          <w:color w:val="auto"/>
          <w:sz w:val="32"/>
          <w:szCs w:val="32"/>
          <w:highlight w:val="none"/>
          <w:lang w:val="en-US" w:eastAsia="zh-CN"/>
        </w:rPr>
        <w:t>77.34</w:t>
      </w:r>
      <w:r>
        <w:rPr>
          <w:rFonts w:hint="default" w:ascii="Times New Roman" w:hAnsi="Times New Roman" w:eastAsia="仿宋" w:cs="Times New Roman"/>
          <w:b w:val="0"/>
          <w:bCs/>
          <w:color w:val="auto"/>
          <w:sz w:val="32"/>
          <w:szCs w:val="32"/>
          <w:highlight w:val="none"/>
        </w:rPr>
        <w:t>万元，占</w:t>
      </w:r>
      <w:r>
        <w:rPr>
          <w:rFonts w:hint="default" w:ascii="Times New Roman" w:hAnsi="Times New Roman" w:eastAsia="仿宋" w:cs="Times New Roman"/>
          <w:b w:val="0"/>
          <w:bCs/>
          <w:color w:val="auto"/>
          <w:sz w:val="32"/>
          <w:szCs w:val="32"/>
          <w:highlight w:val="none"/>
          <w:lang w:val="en-US" w:eastAsia="zh-CN"/>
        </w:rPr>
        <w:t>5.22</w:t>
      </w:r>
      <w:r>
        <w:rPr>
          <w:rFonts w:hint="default" w:ascii="Times New Roman" w:hAnsi="Times New Roman" w:eastAsia="仿宋" w:cs="Times New Roman"/>
          <w:b w:val="0"/>
          <w:bCs/>
          <w:color w:val="auto"/>
          <w:sz w:val="32"/>
          <w:szCs w:val="32"/>
          <w:highlight w:val="none"/>
        </w:rPr>
        <w:t>%；</w:t>
      </w:r>
      <w:r>
        <w:rPr>
          <w:rFonts w:hint="default" w:ascii="Times New Roman" w:hAnsi="Times New Roman" w:eastAsia="仿宋" w:cs="Times New Roman"/>
          <w:b/>
          <w:color w:val="auto"/>
          <w:sz w:val="32"/>
          <w:szCs w:val="32"/>
          <w:highlight w:val="none"/>
        </w:rPr>
        <w:t>住房保障支出</w:t>
      </w:r>
      <w:r>
        <w:rPr>
          <w:rFonts w:hint="default" w:ascii="Times New Roman" w:hAnsi="Times New Roman" w:eastAsia="仿宋" w:cs="Times New Roman"/>
          <w:b w:val="0"/>
          <w:bCs/>
          <w:color w:val="auto"/>
          <w:sz w:val="32"/>
          <w:szCs w:val="32"/>
          <w:highlight w:val="none"/>
          <w:lang w:val="en-US" w:eastAsia="zh-CN"/>
        </w:rPr>
        <w:t>91.71</w:t>
      </w:r>
      <w:r>
        <w:rPr>
          <w:rFonts w:hint="default" w:ascii="Times New Roman" w:hAnsi="Times New Roman" w:eastAsia="仿宋" w:cs="Times New Roman"/>
          <w:b w:val="0"/>
          <w:bCs/>
          <w:color w:val="auto"/>
          <w:sz w:val="32"/>
          <w:szCs w:val="32"/>
          <w:highlight w:val="none"/>
        </w:rPr>
        <w:t>万元，占</w:t>
      </w:r>
      <w:r>
        <w:rPr>
          <w:rFonts w:hint="default" w:ascii="Times New Roman" w:hAnsi="Times New Roman" w:eastAsia="仿宋" w:cs="Times New Roman"/>
          <w:b w:val="0"/>
          <w:bCs/>
          <w:color w:val="auto"/>
          <w:sz w:val="32"/>
          <w:szCs w:val="32"/>
          <w:highlight w:val="none"/>
          <w:lang w:val="en-US" w:eastAsia="zh-CN"/>
        </w:rPr>
        <w:t>6.19</w:t>
      </w:r>
      <w:r>
        <w:rPr>
          <w:rFonts w:hint="default" w:ascii="Times New Roman" w:hAnsi="Times New Roman" w:eastAsia="仿宋" w:cs="Times New Roman"/>
          <w:b w:val="0"/>
          <w:bCs/>
          <w:color w:val="auto"/>
          <w:sz w:val="32"/>
          <w:szCs w:val="32"/>
          <w:highlight w:val="none"/>
        </w:rPr>
        <w:t>%</w:t>
      </w:r>
      <w:r>
        <w:rPr>
          <w:rFonts w:hint="default" w:ascii="Times New Roman" w:hAnsi="Times New Roman" w:eastAsia="仿宋" w:cs="Times New Roman"/>
          <w:b w:val="0"/>
          <w:bCs/>
          <w:color w:val="auto"/>
          <w:sz w:val="32"/>
          <w:szCs w:val="32"/>
          <w:highlight w:val="none"/>
          <w:lang w:eastAsia="zh-CN"/>
        </w:rPr>
        <w:t>。</w:t>
      </w:r>
    </w:p>
    <w:p w14:paraId="22605378">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14605"/>
            <wp:docPr id="9" name="图表 8" descr="7b0a202020202263686172745265734964223a202232303437363837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0722E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30" w:name="_Toc15377212"/>
      <w:r>
        <w:rPr>
          <w:rFonts w:hint="default" w:ascii="Times New Roman" w:hAnsi="Times New Roman" w:eastAsia="楷体_GB2312" w:cs="Times New Roman"/>
          <w:b/>
          <w:color w:val="auto"/>
          <w:sz w:val="32"/>
          <w:szCs w:val="32"/>
          <w:highlight w:val="none"/>
        </w:rPr>
        <w:t>（三）一般公共预算财政拨款支出决算具体情况</w:t>
      </w:r>
      <w:bookmarkEnd w:id="30"/>
    </w:p>
    <w:p w14:paraId="68407CE2">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bookmarkStart w:id="31" w:name="_Toc15377444"/>
      <w:bookmarkStart w:id="32" w:name="_Toc15377213"/>
      <w:bookmarkStart w:id="33" w:name="_Toc15378460"/>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2024年度一般公共预算财政拨款支出决算数为</w:t>
      </w:r>
      <w:r>
        <w:rPr>
          <w:rFonts w:hint="default" w:ascii="Times New Roman" w:hAnsi="Times New Roman" w:eastAsia="仿宋_GB2312" w:cs="Times New Roman"/>
          <w:sz w:val="32"/>
          <w:szCs w:val="32"/>
        </w:rPr>
        <w:t>1482.02</w:t>
      </w:r>
      <w:r>
        <w:rPr>
          <w:rFonts w:hint="default" w:ascii="Times New Roman" w:hAnsi="Times New Roman" w:eastAsia="仿宋_GB2312" w:cs="Times New Roman"/>
          <w:color w:val="auto"/>
          <w:kern w:val="2"/>
          <w:sz w:val="32"/>
          <w:szCs w:val="32"/>
          <w:highlight w:val="none"/>
          <w:lang w:val="en-US" w:eastAsia="zh-CN" w:bidi="ar-SA"/>
        </w:rPr>
        <w:t>，完成预算100%。其中：</w:t>
      </w:r>
      <w:bookmarkEnd w:id="31"/>
      <w:bookmarkEnd w:id="32"/>
      <w:bookmarkEnd w:id="33"/>
    </w:p>
    <w:p w14:paraId="7B7B5F0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b/>
          <w:color w:val="auto"/>
          <w:sz w:val="32"/>
          <w:szCs w:val="32"/>
        </w:rPr>
      </w:pPr>
      <w:bookmarkStart w:id="34" w:name="_Toc15377214"/>
      <w:bookmarkStart w:id="35" w:name="_Toc15396608"/>
      <w:r>
        <w:rPr>
          <w:rStyle w:val="20"/>
          <w:rFonts w:hint="default" w:ascii="Times New Roman" w:hAnsi="Times New Roman" w:eastAsia="仿宋" w:cs="Times New Roman"/>
          <w:bCs/>
          <w:color w:val="auto"/>
          <w:sz w:val="32"/>
          <w:szCs w:val="32"/>
          <w:lang w:val="en-US" w:eastAsia="zh-CN"/>
        </w:rPr>
        <w:t>1.</w:t>
      </w:r>
      <w:r>
        <w:rPr>
          <w:rStyle w:val="20"/>
          <w:rFonts w:hint="default" w:ascii="Times New Roman" w:hAnsi="Times New Roman" w:eastAsia="仿宋" w:cs="Times New Roman"/>
          <w:bCs/>
          <w:color w:val="auto"/>
          <w:sz w:val="32"/>
          <w:szCs w:val="32"/>
        </w:rPr>
        <w:t>社会保障和就业支出（类）人力资源和社会保障管理事务（款）行政运行（项）: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922.54</w:t>
      </w:r>
      <w:r>
        <w:rPr>
          <w:rStyle w:val="20"/>
          <w:rFonts w:hint="default" w:ascii="Times New Roman" w:hAnsi="Times New Roman" w:eastAsia="仿宋" w:cs="Times New Roman"/>
          <w:b w:val="0"/>
          <w:bCs/>
          <w:color w:val="auto"/>
          <w:sz w:val="32"/>
          <w:szCs w:val="32"/>
        </w:rPr>
        <w:t>万元，完成预算100%，决算数等于预算数。</w:t>
      </w:r>
    </w:p>
    <w:p w14:paraId="70CB4F9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Cs/>
          <w:color w:val="auto"/>
          <w:sz w:val="32"/>
          <w:szCs w:val="32"/>
          <w:lang w:val="en-US" w:eastAsia="zh-CN"/>
        </w:rPr>
        <w:t>2</w:t>
      </w:r>
      <w:r>
        <w:rPr>
          <w:rStyle w:val="20"/>
          <w:rFonts w:hint="default" w:ascii="Times New Roman" w:hAnsi="Times New Roman" w:eastAsia="仿宋" w:cs="Times New Roman"/>
          <w:bCs/>
          <w:color w:val="auto"/>
          <w:sz w:val="32"/>
          <w:szCs w:val="32"/>
        </w:rPr>
        <w:t>.社会保障和就业支出（类）人力资源和社会保障管理事务（款）社会保险经办机构（项）: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139.97</w:t>
      </w:r>
      <w:r>
        <w:rPr>
          <w:rStyle w:val="20"/>
          <w:rFonts w:hint="default" w:ascii="Times New Roman" w:hAnsi="Times New Roman" w:eastAsia="仿宋" w:cs="Times New Roman"/>
          <w:b w:val="0"/>
          <w:bCs/>
          <w:color w:val="auto"/>
          <w:sz w:val="32"/>
          <w:szCs w:val="32"/>
        </w:rPr>
        <w:t>万元，完成预算100%，决算数等于预算数。</w:t>
      </w:r>
    </w:p>
    <w:p w14:paraId="0EB8FA4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Cs/>
          <w:color w:val="auto"/>
          <w:sz w:val="32"/>
          <w:szCs w:val="32"/>
          <w:lang w:val="en-US" w:eastAsia="zh-CN"/>
        </w:rPr>
        <w:t>3</w:t>
      </w:r>
      <w:r>
        <w:rPr>
          <w:rStyle w:val="20"/>
          <w:rFonts w:hint="default" w:ascii="Times New Roman" w:hAnsi="Times New Roman" w:eastAsia="仿宋" w:cs="Times New Roman"/>
          <w:bCs/>
          <w:color w:val="auto"/>
          <w:sz w:val="32"/>
          <w:szCs w:val="32"/>
        </w:rPr>
        <w:t>.社会保障和就业支出（类）人力资源和社会保障管理事务（款）</w:t>
      </w:r>
      <w:r>
        <w:rPr>
          <w:rStyle w:val="20"/>
          <w:rFonts w:hint="default" w:ascii="Times New Roman" w:hAnsi="Times New Roman" w:eastAsia="仿宋" w:cs="Times New Roman"/>
          <w:bCs/>
          <w:color w:val="auto"/>
          <w:sz w:val="32"/>
          <w:szCs w:val="32"/>
          <w:lang w:eastAsia="zh-CN"/>
        </w:rPr>
        <w:t>其他人力资源和社会保障管理事务支出</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16.8</w:t>
      </w:r>
      <w:r>
        <w:rPr>
          <w:rStyle w:val="20"/>
          <w:rFonts w:hint="default" w:ascii="Times New Roman" w:hAnsi="Times New Roman" w:eastAsia="仿宋" w:cs="Times New Roman"/>
          <w:b w:val="0"/>
          <w:bCs/>
          <w:color w:val="auto"/>
          <w:sz w:val="32"/>
          <w:szCs w:val="32"/>
        </w:rPr>
        <w:t>万元，完成预算100%，决算数等于预算数。</w:t>
      </w:r>
    </w:p>
    <w:p w14:paraId="6F44CD6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b/>
          <w:color w:val="auto"/>
          <w:sz w:val="32"/>
          <w:szCs w:val="32"/>
        </w:rPr>
      </w:pPr>
      <w:r>
        <w:rPr>
          <w:rStyle w:val="20"/>
          <w:rFonts w:hint="default" w:ascii="Times New Roman" w:hAnsi="Times New Roman" w:eastAsia="仿宋" w:cs="Times New Roman"/>
          <w:bCs/>
          <w:color w:val="auto"/>
          <w:sz w:val="32"/>
          <w:szCs w:val="32"/>
          <w:lang w:val="en-US" w:eastAsia="zh-CN"/>
        </w:rPr>
        <w:t>4</w:t>
      </w:r>
      <w:r>
        <w:rPr>
          <w:rStyle w:val="20"/>
          <w:rFonts w:hint="default" w:ascii="Times New Roman" w:hAnsi="Times New Roman" w:eastAsia="仿宋" w:cs="Times New Roman"/>
          <w:bCs/>
          <w:color w:val="auto"/>
          <w:sz w:val="32"/>
          <w:szCs w:val="32"/>
        </w:rPr>
        <w:t>.社会保障和就业支出（类）</w:t>
      </w:r>
      <w:r>
        <w:rPr>
          <w:rStyle w:val="20"/>
          <w:rFonts w:hint="default" w:ascii="Times New Roman" w:hAnsi="Times New Roman" w:eastAsia="仿宋" w:cs="Times New Roman"/>
          <w:bCs/>
          <w:color w:val="auto"/>
          <w:sz w:val="32"/>
          <w:szCs w:val="32"/>
          <w:lang w:eastAsia="zh-CN"/>
        </w:rPr>
        <w:t>行政事业单位养老支出</w:t>
      </w:r>
      <w:r>
        <w:rPr>
          <w:rStyle w:val="20"/>
          <w:rFonts w:hint="default" w:ascii="Times New Roman" w:hAnsi="Times New Roman" w:eastAsia="仿宋" w:cs="Times New Roman"/>
          <w:bCs/>
          <w:color w:val="auto"/>
          <w:sz w:val="32"/>
          <w:szCs w:val="32"/>
        </w:rPr>
        <w:t>（款）行政单位离退休（项）: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100.12</w:t>
      </w:r>
      <w:r>
        <w:rPr>
          <w:rStyle w:val="20"/>
          <w:rFonts w:hint="default" w:ascii="Times New Roman" w:hAnsi="Times New Roman" w:eastAsia="仿宋" w:cs="Times New Roman"/>
          <w:b w:val="0"/>
          <w:bCs/>
          <w:color w:val="auto"/>
          <w:sz w:val="32"/>
          <w:szCs w:val="32"/>
        </w:rPr>
        <w:t>万元，完成预算100%，决算数等于预算数。</w:t>
      </w:r>
    </w:p>
    <w:p w14:paraId="119C25F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Cs/>
          <w:color w:val="auto"/>
          <w:sz w:val="32"/>
          <w:szCs w:val="32"/>
          <w:lang w:val="en-US" w:eastAsia="zh-CN"/>
        </w:rPr>
        <w:t>5</w:t>
      </w:r>
      <w:r>
        <w:rPr>
          <w:rStyle w:val="20"/>
          <w:rFonts w:hint="default" w:ascii="Times New Roman" w:hAnsi="Times New Roman" w:eastAsia="仿宋" w:cs="Times New Roman"/>
          <w:bCs/>
          <w:color w:val="auto"/>
          <w:sz w:val="32"/>
          <w:szCs w:val="32"/>
        </w:rPr>
        <w:t>.社会保障和就业支出（类）</w:t>
      </w:r>
      <w:r>
        <w:rPr>
          <w:rStyle w:val="20"/>
          <w:rFonts w:hint="default" w:ascii="Times New Roman" w:hAnsi="Times New Roman" w:eastAsia="仿宋" w:cs="Times New Roman"/>
          <w:bCs/>
          <w:color w:val="auto"/>
          <w:sz w:val="32"/>
          <w:szCs w:val="32"/>
          <w:lang w:eastAsia="zh-CN"/>
        </w:rPr>
        <w:t>行政事业单位养老支出</w:t>
      </w:r>
      <w:r>
        <w:rPr>
          <w:rStyle w:val="20"/>
          <w:rFonts w:hint="default" w:ascii="Times New Roman" w:hAnsi="Times New Roman" w:eastAsia="仿宋" w:cs="Times New Roman"/>
          <w:bCs/>
          <w:color w:val="auto"/>
          <w:sz w:val="32"/>
          <w:szCs w:val="32"/>
        </w:rPr>
        <w:t>（款）机关事业单位基本养老保险缴费支出（项）: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110.66</w:t>
      </w:r>
      <w:r>
        <w:rPr>
          <w:rStyle w:val="20"/>
          <w:rFonts w:hint="default" w:ascii="Times New Roman" w:hAnsi="Times New Roman" w:eastAsia="仿宋" w:cs="Times New Roman"/>
          <w:b w:val="0"/>
          <w:bCs/>
          <w:color w:val="auto"/>
          <w:sz w:val="32"/>
          <w:szCs w:val="32"/>
        </w:rPr>
        <w:t>万元，完成预算100%，决算数等于预算数。</w:t>
      </w:r>
    </w:p>
    <w:p w14:paraId="54F3E25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6.</w:t>
      </w:r>
      <w:r>
        <w:rPr>
          <w:rStyle w:val="20"/>
          <w:rFonts w:hint="default" w:ascii="Times New Roman" w:hAnsi="Times New Roman" w:eastAsia="仿宋" w:cs="Times New Roman"/>
          <w:bCs/>
          <w:color w:val="auto"/>
          <w:sz w:val="32"/>
          <w:szCs w:val="32"/>
        </w:rPr>
        <w:t>社会保障和就业支出（类）</w:t>
      </w:r>
      <w:r>
        <w:rPr>
          <w:rStyle w:val="20"/>
          <w:rFonts w:hint="default" w:ascii="Times New Roman" w:hAnsi="Times New Roman" w:eastAsia="仿宋" w:cs="Times New Roman"/>
          <w:bCs/>
          <w:color w:val="auto"/>
          <w:sz w:val="32"/>
          <w:szCs w:val="32"/>
          <w:lang w:eastAsia="zh-CN"/>
        </w:rPr>
        <w:t>行政事业单位养老支出</w:t>
      </w:r>
      <w:r>
        <w:rPr>
          <w:rStyle w:val="20"/>
          <w:rFonts w:hint="default" w:ascii="Times New Roman" w:hAnsi="Times New Roman" w:eastAsia="仿宋" w:cs="Times New Roman"/>
          <w:bCs/>
          <w:color w:val="auto"/>
          <w:sz w:val="32"/>
          <w:szCs w:val="32"/>
        </w:rPr>
        <w:t>（款）机关事业单位</w:t>
      </w:r>
      <w:r>
        <w:rPr>
          <w:rStyle w:val="20"/>
          <w:rFonts w:hint="default" w:ascii="Times New Roman" w:hAnsi="Times New Roman" w:eastAsia="仿宋" w:cs="Times New Roman"/>
          <w:bCs/>
          <w:color w:val="auto"/>
          <w:sz w:val="32"/>
          <w:szCs w:val="32"/>
          <w:lang w:eastAsia="zh-CN"/>
        </w:rPr>
        <w:t>职业年金缴费</w:t>
      </w:r>
      <w:r>
        <w:rPr>
          <w:rStyle w:val="20"/>
          <w:rFonts w:hint="default" w:ascii="Times New Roman" w:hAnsi="Times New Roman" w:eastAsia="仿宋" w:cs="Times New Roman"/>
          <w:bCs/>
          <w:color w:val="auto"/>
          <w:sz w:val="32"/>
          <w:szCs w:val="32"/>
        </w:rPr>
        <w:t>支出（项）: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22.88</w:t>
      </w:r>
      <w:r>
        <w:rPr>
          <w:rStyle w:val="20"/>
          <w:rFonts w:hint="default" w:ascii="Times New Roman" w:hAnsi="Times New Roman" w:eastAsia="仿宋" w:cs="Times New Roman"/>
          <w:b w:val="0"/>
          <w:bCs/>
          <w:color w:val="auto"/>
          <w:sz w:val="32"/>
          <w:szCs w:val="32"/>
        </w:rPr>
        <w:t>万元，完成预算100%，决算数等于预算数。</w:t>
      </w:r>
    </w:p>
    <w:p w14:paraId="629B8CB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7.卫生健康支出</w:t>
      </w:r>
      <w:r>
        <w:rPr>
          <w:rStyle w:val="20"/>
          <w:rFonts w:hint="default" w:ascii="Times New Roman" w:hAnsi="Times New Roman" w:eastAsia="仿宋" w:cs="Times New Roman"/>
          <w:bCs/>
          <w:color w:val="auto"/>
          <w:sz w:val="32"/>
          <w:szCs w:val="32"/>
        </w:rPr>
        <w:t>（类）</w:t>
      </w:r>
      <w:r>
        <w:rPr>
          <w:rStyle w:val="20"/>
          <w:rFonts w:hint="default" w:ascii="Times New Roman" w:hAnsi="Times New Roman" w:eastAsia="仿宋" w:cs="Times New Roman"/>
          <w:bCs/>
          <w:color w:val="auto"/>
          <w:sz w:val="32"/>
          <w:szCs w:val="32"/>
          <w:lang w:eastAsia="zh-CN"/>
        </w:rPr>
        <w:t>行政事业单位医疗</w:t>
      </w:r>
      <w:r>
        <w:rPr>
          <w:rStyle w:val="20"/>
          <w:rFonts w:hint="default" w:ascii="Times New Roman" w:hAnsi="Times New Roman" w:eastAsia="仿宋" w:cs="Times New Roman"/>
          <w:bCs/>
          <w:color w:val="auto"/>
          <w:sz w:val="32"/>
          <w:szCs w:val="32"/>
        </w:rPr>
        <w:t>（款）</w:t>
      </w:r>
      <w:r>
        <w:rPr>
          <w:rStyle w:val="20"/>
          <w:rFonts w:hint="default" w:ascii="Times New Roman" w:hAnsi="Times New Roman" w:eastAsia="仿宋" w:cs="Times New Roman"/>
          <w:bCs/>
          <w:color w:val="auto"/>
          <w:sz w:val="32"/>
          <w:szCs w:val="32"/>
          <w:lang w:eastAsia="zh-CN"/>
        </w:rPr>
        <w:t>行政单位医疗</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62.24</w:t>
      </w:r>
      <w:r>
        <w:rPr>
          <w:rStyle w:val="20"/>
          <w:rFonts w:hint="default" w:ascii="Times New Roman" w:hAnsi="Times New Roman" w:eastAsia="仿宋" w:cs="Times New Roman"/>
          <w:b w:val="0"/>
          <w:bCs/>
          <w:color w:val="auto"/>
          <w:sz w:val="32"/>
          <w:szCs w:val="32"/>
        </w:rPr>
        <w:t>万元，完成预算100%，决算数等于预算数。</w:t>
      </w:r>
    </w:p>
    <w:p w14:paraId="2EE2C2A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8.卫生健康支出</w:t>
      </w:r>
      <w:r>
        <w:rPr>
          <w:rStyle w:val="20"/>
          <w:rFonts w:hint="default" w:ascii="Times New Roman" w:hAnsi="Times New Roman" w:eastAsia="仿宋" w:cs="Times New Roman"/>
          <w:bCs/>
          <w:color w:val="auto"/>
          <w:sz w:val="32"/>
          <w:szCs w:val="32"/>
        </w:rPr>
        <w:t>（类）</w:t>
      </w:r>
      <w:r>
        <w:rPr>
          <w:rStyle w:val="20"/>
          <w:rFonts w:hint="default" w:ascii="Times New Roman" w:hAnsi="Times New Roman" w:eastAsia="仿宋" w:cs="Times New Roman"/>
          <w:bCs/>
          <w:color w:val="auto"/>
          <w:sz w:val="32"/>
          <w:szCs w:val="32"/>
          <w:lang w:eastAsia="zh-CN"/>
        </w:rPr>
        <w:t>行政事业单位医疗</w:t>
      </w:r>
      <w:r>
        <w:rPr>
          <w:rStyle w:val="20"/>
          <w:rFonts w:hint="default" w:ascii="Times New Roman" w:hAnsi="Times New Roman" w:eastAsia="仿宋" w:cs="Times New Roman"/>
          <w:bCs/>
          <w:color w:val="auto"/>
          <w:sz w:val="32"/>
          <w:szCs w:val="32"/>
        </w:rPr>
        <w:t>（款）</w:t>
      </w:r>
      <w:r>
        <w:rPr>
          <w:rStyle w:val="20"/>
          <w:rFonts w:hint="default" w:ascii="Times New Roman" w:hAnsi="Times New Roman" w:eastAsia="仿宋" w:cs="Times New Roman"/>
          <w:bCs/>
          <w:color w:val="auto"/>
          <w:sz w:val="32"/>
          <w:szCs w:val="32"/>
          <w:lang w:eastAsia="zh-CN"/>
        </w:rPr>
        <w:t>公务员医疗补助</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7.03</w:t>
      </w:r>
      <w:r>
        <w:rPr>
          <w:rStyle w:val="20"/>
          <w:rFonts w:hint="default" w:ascii="Times New Roman" w:hAnsi="Times New Roman" w:eastAsia="仿宋" w:cs="Times New Roman"/>
          <w:b w:val="0"/>
          <w:bCs/>
          <w:color w:val="auto"/>
          <w:sz w:val="32"/>
          <w:szCs w:val="32"/>
        </w:rPr>
        <w:t>万元，完成预算100%，决算数等于预算数。</w:t>
      </w:r>
    </w:p>
    <w:p w14:paraId="1CBD0B7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9.卫生健康支出</w:t>
      </w:r>
      <w:r>
        <w:rPr>
          <w:rStyle w:val="20"/>
          <w:rFonts w:hint="default" w:ascii="Times New Roman" w:hAnsi="Times New Roman" w:eastAsia="仿宋" w:cs="Times New Roman"/>
          <w:bCs/>
          <w:color w:val="auto"/>
          <w:sz w:val="32"/>
          <w:szCs w:val="32"/>
        </w:rPr>
        <w:t>（类）</w:t>
      </w:r>
      <w:r>
        <w:rPr>
          <w:rStyle w:val="20"/>
          <w:rFonts w:hint="default" w:ascii="Times New Roman" w:hAnsi="Times New Roman" w:eastAsia="仿宋" w:cs="Times New Roman"/>
          <w:bCs/>
          <w:color w:val="auto"/>
          <w:sz w:val="32"/>
          <w:szCs w:val="32"/>
          <w:lang w:eastAsia="zh-CN"/>
        </w:rPr>
        <w:t>行政事业单位医疗</w:t>
      </w:r>
      <w:r>
        <w:rPr>
          <w:rStyle w:val="20"/>
          <w:rFonts w:hint="default" w:ascii="Times New Roman" w:hAnsi="Times New Roman" w:eastAsia="仿宋" w:cs="Times New Roman"/>
          <w:bCs/>
          <w:color w:val="auto"/>
          <w:sz w:val="32"/>
          <w:szCs w:val="32"/>
        </w:rPr>
        <w:t>（款）</w:t>
      </w:r>
      <w:r>
        <w:rPr>
          <w:rStyle w:val="20"/>
          <w:rFonts w:hint="default" w:ascii="Times New Roman" w:hAnsi="Times New Roman" w:eastAsia="仿宋" w:cs="Times New Roman"/>
          <w:bCs/>
          <w:color w:val="auto"/>
          <w:sz w:val="32"/>
          <w:szCs w:val="32"/>
          <w:lang w:eastAsia="zh-CN"/>
        </w:rPr>
        <w:t>其他行政事业单位医疗支出</w:t>
      </w:r>
      <w:r>
        <w:rPr>
          <w:rStyle w:val="20"/>
          <w:rFonts w:hint="default" w:ascii="Times New Roman" w:hAnsi="Times New Roman" w:eastAsia="仿宋" w:cs="Times New Roman"/>
          <w:bCs/>
          <w:color w:val="auto"/>
          <w:sz w:val="32"/>
          <w:szCs w:val="32"/>
        </w:rPr>
        <w:t>（项）: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8.08</w:t>
      </w:r>
      <w:r>
        <w:rPr>
          <w:rStyle w:val="20"/>
          <w:rFonts w:hint="default" w:ascii="Times New Roman" w:hAnsi="Times New Roman" w:eastAsia="仿宋" w:cs="Times New Roman"/>
          <w:b w:val="0"/>
          <w:bCs/>
          <w:color w:val="auto"/>
          <w:sz w:val="32"/>
          <w:szCs w:val="32"/>
        </w:rPr>
        <w:t>万元，完成预算100%，决算数等于预算数。</w:t>
      </w:r>
    </w:p>
    <w:p w14:paraId="79B6A29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20"/>
          <w:rFonts w:hint="default" w:ascii="Times New Roman" w:hAnsi="Times New Roman" w:eastAsia="仿宋" w:cs="Times New Roman"/>
          <w:b w:val="0"/>
          <w:bCs/>
          <w:color w:val="auto"/>
          <w:sz w:val="32"/>
          <w:szCs w:val="32"/>
        </w:rPr>
      </w:pPr>
      <w:r>
        <w:rPr>
          <w:rStyle w:val="20"/>
          <w:rFonts w:hint="default" w:ascii="Times New Roman" w:hAnsi="Times New Roman" w:eastAsia="仿宋" w:cs="Times New Roman"/>
          <w:b/>
          <w:bCs w:val="0"/>
          <w:color w:val="auto"/>
          <w:sz w:val="32"/>
          <w:szCs w:val="32"/>
          <w:lang w:val="en-US" w:eastAsia="zh-CN"/>
        </w:rPr>
        <w:t>10.</w:t>
      </w:r>
      <w:r>
        <w:rPr>
          <w:rStyle w:val="20"/>
          <w:rFonts w:hint="default" w:ascii="Times New Roman" w:hAnsi="Times New Roman" w:eastAsia="仿宋" w:cs="Times New Roman"/>
          <w:bCs/>
          <w:color w:val="auto"/>
          <w:sz w:val="32"/>
          <w:szCs w:val="32"/>
        </w:rPr>
        <w:t>住房保障支出（类）住房改革支出（款）住房公积金（项）:</w:t>
      </w:r>
      <w:r>
        <w:rPr>
          <w:rStyle w:val="20"/>
          <w:rFonts w:hint="default" w:ascii="Times New Roman" w:hAnsi="Times New Roman" w:eastAsia="仿宋" w:cs="Times New Roman"/>
          <w:b w:val="0"/>
          <w:bCs/>
          <w:color w:val="auto"/>
          <w:sz w:val="32"/>
          <w:szCs w:val="32"/>
        </w:rPr>
        <w:t>支出决算为</w:t>
      </w:r>
      <w:r>
        <w:rPr>
          <w:rStyle w:val="20"/>
          <w:rFonts w:hint="default" w:ascii="Times New Roman" w:hAnsi="Times New Roman" w:eastAsia="仿宋" w:cs="Times New Roman"/>
          <w:b w:val="0"/>
          <w:bCs/>
          <w:color w:val="auto"/>
          <w:sz w:val="32"/>
          <w:szCs w:val="32"/>
          <w:lang w:val="en-US" w:eastAsia="zh-CN"/>
        </w:rPr>
        <w:t>91.71</w:t>
      </w:r>
      <w:r>
        <w:rPr>
          <w:rStyle w:val="20"/>
          <w:rFonts w:hint="default" w:ascii="Times New Roman" w:hAnsi="Times New Roman" w:eastAsia="仿宋" w:cs="Times New Roman"/>
          <w:b w:val="0"/>
          <w:bCs/>
          <w:color w:val="auto"/>
          <w:sz w:val="32"/>
          <w:szCs w:val="32"/>
        </w:rPr>
        <w:t>万元，完成预算100%，决算数等于预算数。</w:t>
      </w:r>
    </w:p>
    <w:p w14:paraId="66C097F1">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0"/>
        <w:textAlignment w:val="auto"/>
        <w:outlineLvl w:val="1"/>
        <w:rPr>
          <w:rStyle w:val="32"/>
          <w:rFonts w:hint="default" w:ascii="Times New Roman" w:hAnsi="Times New Roman" w:cs="Times New Roman"/>
          <w:color w:val="auto"/>
          <w:highlight w:val="none"/>
        </w:rPr>
      </w:pPr>
      <w:r>
        <w:rPr>
          <w:rFonts w:hint="default" w:ascii="Times New Roman" w:hAnsi="Times New Roman" w:eastAsia="黑体" w:cs="Times New Roman"/>
          <w:color w:val="auto"/>
          <w:sz w:val="32"/>
          <w:szCs w:val="32"/>
          <w:highlight w:val="none"/>
        </w:rPr>
        <w:t>六</w:t>
      </w:r>
      <w:r>
        <w:rPr>
          <w:rFonts w:hint="default" w:ascii="Times New Roman" w:hAnsi="Times New Roman" w:eastAsia="黑体" w:cs="Times New Roman"/>
          <w:b/>
          <w:color w:val="auto"/>
          <w:sz w:val="32"/>
          <w:szCs w:val="32"/>
          <w:highlight w:val="none"/>
        </w:rPr>
        <w:t>、一</w:t>
      </w:r>
      <w:r>
        <w:rPr>
          <w:rStyle w:val="32"/>
          <w:rFonts w:hint="default" w:ascii="Times New Roman" w:hAnsi="Times New Roman" w:eastAsia="黑体" w:cs="Times New Roman"/>
          <w:b w:val="0"/>
          <w:color w:val="auto"/>
          <w:highlight w:val="none"/>
        </w:rPr>
        <w:t>般公共预算财政拨款基本支出决算情况说明</w:t>
      </w:r>
      <w:bookmarkEnd w:id="34"/>
      <w:bookmarkEnd w:id="35"/>
      <w:r>
        <w:rPr>
          <w:rStyle w:val="32"/>
          <w:rFonts w:hint="default" w:ascii="Times New Roman" w:hAnsi="Times New Roman" w:eastAsia="黑体" w:cs="Times New Roman"/>
          <w:b w:val="0"/>
          <w:color w:val="auto"/>
          <w:highlight w:val="none"/>
        </w:rPr>
        <w:tab/>
      </w:r>
    </w:p>
    <w:p w14:paraId="2FDC53FC">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2024年度一般公共预算财政拨款基本支出</w:t>
      </w:r>
      <w:r>
        <w:rPr>
          <w:rFonts w:hint="default" w:ascii="Times New Roman" w:hAnsi="Times New Roman" w:eastAsia="仿宋_GB2312" w:cs="Times New Roman"/>
          <w:sz w:val="32"/>
          <w:szCs w:val="32"/>
        </w:rPr>
        <w:t>1377.74</w:t>
      </w:r>
      <w:r>
        <w:rPr>
          <w:rFonts w:hint="default" w:ascii="Times New Roman" w:hAnsi="Times New Roman" w:eastAsia="仿宋_GB2312" w:cs="Times New Roman"/>
          <w:color w:val="auto"/>
          <w:kern w:val="2"/>
          <w:sz w:val="32"/>
          <w:szCs w:val="32"/>
          <w:highlight w:val="none"/>
          <w:lang w:val="en-US" w:eastAsia="zh-CN" w:bidi="ar-SA"/>
        </w:rPr>
        <w:t>万元，其中：</w:t>
      </w:r>
    </w:p>
    <w:p w14:paraId="44059C19">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仿宋" w:cs="Times New Roman"/>
          <w:b/>
          <w:color w:val="auto"/>
          <w:sz w:val="32"/>
          <w:szCs w:val="32"/>
        </w:rPr>
      </w:pPr>
      <w:r>
        <w:rPr>
          <w:rFonts w:hint="default" w:ascii="Times New Roman" w:hAnsi="Times New Roman" w:eastAsia="仿宋_GB2312" w:cs="Times New Roman"/>
          <w:color w:val="auto"/>
          <w:kern w:val="2"/>
          <w:sz w:val="32"/>
          <w:szCs w:val="32"/>
          <w:highlight w:val="none"/>
          <w:lang w:val="en-US" w:eastAsia="zh-CN" w:bidi="ar-SA"/>
        </w:rPr>
        <w:t>人员经费</w:t>
      </w:r>
      <w:r>
        <w:rPr>
          <w:rFonts w:hint="default" w:ascii="Times New Roman" w:hAnsi="Times New Roman" w:eastAsia="仿宋_GB2312" w:cs="Times New Roman"/>
          <w:sz w:val="32"/>
          <w:szCs w:val="32"/>
          <w:lang w:val="en-US" w:eastAsia="zh-CN"/>
        </w:rPr>
        <w:t>1237.24</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 w:cs="Times New Roman"/>
          <w:color w:val="auto"/>
          <w:sz w:val="32"/>
          <w:szCs w:val="32"/>
          <w:highlight w:val="none"/>
        </w:rPr>
        <w:t>主要包括：基本工资、津贴补贴、奖金、机关事业单位基本养老保险缴费、职业年金缴费、</w:t>
      </w:r>
      <w:r>
        <w:rPr>
          <w:rFonts w:hint="default" w:ascii="Times New Roman" w:hAnsi="Times New Roman" w:eastAsia="仿宋" w:cs="Times New Roman"/>
          <w:color w:val="auto"/>
          <w:sz w:val="32"/>
          <w:szCs w:val="32"/>
          <w:highlight w:val="none"/>
          <w:lang w:eastAsia="zh-CN"/>
        </w:rPr>
        <w:t>职工基本医疗保险缴费、公务员医疗补助缴费、</w:t>
      </w:r>
      <w:r>
        <w:rPr>
          <w:rFonts w:hint="default" w:ascii="Times New Roman" w:hAnsi="Times New Roman" w:eastAsia="仿宋" w:cs="Times New Roman"/>
          <w:color w:val="auto"/>
          <w:sz w:val="32"/>
          <w:szCs w:val="32"/>
          <w:highlight w:val="none"/>
        </w:rPr>
        <w:t>其他社会保障缴费、其他工资福利支出、生活补助、医疗费补助、</w:t>
      </w:r>
      <w:r>
        <w:rPr>
          <w:rFonts w:hint="default" w:ascii="Times New Roman" w:hAnsi="Times New Roman" w:eastAsia="仿宋" w:cs="Times New Roman"/>
          <w:color w:val="auto"/>
          <w:sz w:val="32"/>
          <w:szCs w:val="32"/>
          <w:highlight w:val="none"/>
          <w:lang w:eastAsia="zh-CN"/>
        </w:rPr>
        <w:t>奖励金、</w:t>
      </w:r>
      <w:r>
        <w:rPr>
          <w:rFonts w:hint="default" w:ascii="Times New Roman" w:hAnsi="Times New Roman" w:eastAsia="仿宋" w:cs="Times New Roman"/>
          <w:color w:val="auto"/>
          <w:sz w:val="32"/>
          <w:szCs w:val="32"/>
          <w:highlight w:val="none"/>
        </w:rPr>
        <w:t>住房公积金等。</w:t>
      </w:r>
      <w:r>
        <w:rPr>
          <w:rFonts w:hint="default" w:ascii="Times New Roman" w:hAnsi="Times New Roman" w:eastAsia="仿宋" w:cs="Times New Roman"/>
          <w:color w:val="auto"/>
          <w:sz w:val="32"/>
          <w:szCs w:val="32"/>
          <w:highlight w:val="none"/>
        </w:rPr>
        <w:br w:type="textWrapping"/>
      </w:r>
      <w:r>
        <w:rPr>
          <w:rFonts w:hint="default" w:ascii="Times New Roman" w:hAnsi="Times New Roman" w:eastAsia="仿宋_GB2312" w:cs="Times New Roman"/>
          <w:color w:val="auto"/>
          <w:kern w:val="2"/>
          <w:sz w:val="32"/>
          <w:szCs w:val="32"/>
          <w:highlight w:val="none"/>
          <w:lang w:val="en-US" w:eastAsia="zh-CN" w:bidi="ar-SA"/>
        </w:rPr>
        <w:t>　　公用经费</w:t>
      </w:r>
      <w:r>
        <w:rPr>
          <w:rFonts w:hint="default" w:ascii="Times New Roman" w:hAnsi="Times New Roman" w:eastAsia="仿宋_GB2312" w:cs="Times New Roman"/>
          <w:sz w:val="32"/>
          <w:szCs w:val="32"/>
        </w:rPr>
        <w:t>140.5</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 w:cs="Times New Roman"/>
          <w:color w:val="auto"/>
          <w:sz w:val="32"/>
          <w:szCs w:val="32"/>
          <w:highlight w:val="none"/>
        </w:rPr>
        <w:t>主要包括：</w:t>
      </w:r>
      <w:r>
        <w:rPr>
          <w:rFonts w:hint="default" w:ascii="Times New Roman" w:hAnsi="Times New Roman" w:eastAsia="仿宋" w:cs="Times New Roman"/>
          <w:color w:val="auto"/>
          <w:sz w:val="32"/>
          <w:szCs w:val="32"/>
        </w:rPr>
        <w:t>办公费、邮电费、差旅费、</w:t>
      </w:r>
      <w:r>
        <w:rPr>
          <w:rFonts w:hint="default" w:ascii="Times New Roman" w:hAnsi="Times New Roman" w:eastAsia="仿宋" w:cs="Times New Roman"/>
          <w:color w:val="auto"/>
          <w:sz w:val="32"/>
          <w:szCs w:val="32"/>
          <w:lang w:eastAsia="zh-CN"/>
        </w:rPr>
        <w:t>维修（护）费、</w:t>
      </w:r>
      <w:r>
        <w:rPr>
          <w:rFonts w:hint="default" w:ascii="Times New Roman" w:hAnsi="Times New Roman" w:eastAsia="仿宋" w:cs="Times New Roman"/>
          <w:color w:val="auto"/>
          <w:sz w:val="32"/>
          <w:szCs w:val="32"/>
        </w:rPr>
        <w:t>公务接待费、</w:t>
      </w:r>
      <w:r>
        <w:rPr>
          <w:rFonts w:hint="default" w:ascii="Times New Roman" w:hAnsi="Times New Roman" w:eastAsia="仿宋" w:cs="Times New Roman"/>
          <w:color w:val="auto"/>
          <w:sz w:val="32"/>
          <w:szCs w:val="32"/>
          <w:lang w:eastAsia="zh-CN"/>
        </w:rPr>
        <w:t>培训费、</w:t>
      </w:r>
      <w:r>
        <w:rPr>
          <w:rFonts w:hint="default" w:ascii="Times New Roman" w:hAnsi="Times New Roman" w:eastAsia="仿宋" w:cs="Times New Roman"/>
          <w:color w:val="auto"/>
          <w:sz w:val="32"/>
          <w:szCs w:val="32"/>
        </w:rPr>
        <w:t>工会经费、福利费、公务用车运行维护费、其他交通费、其他商品和服务支出</w:t>
      </w:r>
      <w:r>
        <w:rPr>
          <w:rFonts w:hint="default" w:ascii="Times New Roman" w:hAnsi="Times New Roman" w:eastAsia="仿宋" w:cs="Times New Roman"/>
          <w:color w:val="auto"/>
          <w:sz w:val="32"/>
          <w:szCs w:val="32"/>
          <w:lang w:eastAsia="zh-CN"/>
        </w:rPr>
        <w:t>等</w:t>
      </w:r>
      <w:r>
        <w:rPr>
          <w:rFonts w:hint="default" w:ascii="Times New Roman" w:hAnsi="Times New Roman" w:eastAsia="仿宋" w:cs="Times New Roman"/>
          <w:color w:val="auto"/>
          <w:sz w:val="32"/>
          <w:szCs w:val="32"/>
        </w:rPr>
        <w:t>。</w:t>
      </w:r>
    </w:p>
    <w:p w14:paraId="79E849D4">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1"/>
        <w:rPr>
          <w:rStyle w:val="32"/>
          <w:rFonts w:hint="default" w:ascii="Times New Roman" w:hAnsi="Times New Roman" w:eastAsia="黑体" w:cs="Times New Roman"/>
          <w:b w:val="0"/>
          <w:color w:val="auto"/>
          <w:highlight w:val="none"/>
        </w:rPr>
      </w:pPr>
      <w:bookmarkStart w:id="36" w:name="_Toc15396609"/>
      <w:bookmarkStart w:id="37" w:name="_Toc15377215"/>
      <w:r>
        <w:rPr>
          <w:rFonts w:hint="default" w:ascii="Times New Roman" w:hAnsi="Times New Roman" w:eastAsia="黑体" w:cs="Times New Roman"/>
          <w:color w:val="auto"/>
          <w:sz w:val="32"/>
          <w:szCs w:val="32"/>
          <w:highlight w:val="none"/>
        </w:rPr>
        <w:t>七、</w:t>
      </w:r>
      <w:r>
        <w:rPr>
          <w:rStyle w:val="32"/>
          <w:rFonts w:hint="default" w:ascii="Times New Roman" w:hAnsi="Times New Roman" w:eastAsia="黑体" w:cs="Times New Roman"/>
          <w:b w:val="0"/>
          <w:color w:val="auto"/>
          <w:highlight w:val="none"/>
        </w:rPr>
        <w:t>财政拨款</w:t>
      </w:r>
      <w:r>
        <w:rPr>
          <w:rStyle w:val="32"/>
          <w:rFonts w:hint="default" w:ascii="Times New Roman" w:hAnsi="Times New Roman" w:eastAsia="黑体" w:cs="Times New Roman"/>
          <w:color w:val="auto"/>
          <w:highlight w:val="none"/>
        </w:rPr>
        <w:t>“</w:t>
      </w:r>
      <w:r>
        <w:rPr>
          <w:rStyle w:val="32"/>
          <w:rFonts w:hint="default" w:ascii="Times New Roman" w:hAnsi="Times New Roman" w:eastAsia="黑体" w:cs="Times New Roman"/>
          <w:b w:val="0"/>
          <w:color w:val="auto"/>
          <w:highlight w:val="none"/>
        </w:rPr>
        <w:t>三公”经费支出决算情况说明</w:t>
      </w:r>
      <w:bookmarkEnd w:id="36"/>
      <w:bookmarkEnd w:id="37"/>
    </w:p>
    <w:p w14:paraId="05BD8A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38" w:name="_Toc15377216"/>
      <w:r>
        <w:rPr>
          <w:rFonts w:hint="default" w:ascii="Times New Roman" w:hAnsi="Times New Roman" w:eastAsia="楷体_GB2312" w:cs="Times New Roman"/>
          <w:b/>
          <w:color w:val="auto"/>
          <w:sz w:val="32"/>
          <w:szCs w:val="32"/>
          <w:highlight w:val="none"/>
        </w:rPr>
        <w:t>（一）“三公”经费财政拨款支出决算总体情况说明</w:t>
      </w:r>
      <w:bookmarkEnd w:id="38"/>
    </w:p>
    <w:p w14:paraId="2A5BD9D3">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2024年度“三公”经费财政拨款支出决算为</w:t>
      </w:r>
      <w:r>
        <w:rPr>
          <w:rFonts w:hint="default" w:ascii="Times New Roman" w:hAnsi="Times New Roman" w:eastAsia="仿宋_GB2312" w:cs="Times New Roman"/>
          <w:sz w:val="32"/>
          <w:szCs w:val="32"/>
        </w:rPr>
        <w:t>2.24</w:t>
      </w:r>
      <w:r>
        <w:rPr>
          <w:rFonts w:hint="default" w:ascii="Times New Roman" w:hAnsi="Times New Roman" w:eastAsia="仿宋_GB2312" w:cs="Times New Roman"/>
          <w:color w:val="auto"/>
          <w:kern w:val="2"/>
          <w:sz w:val="32"/>
          <w:szCs w:val="32"/>
          <w:highlight w:val="none"/>
          <w:lang w:val="en-US" w:eastAsia="zh-CN" w:bidi="ar-SA"/>
        </w:rPr>
        <w:t>万元，完成预算</w:t>
      </w:r>
      <w:r>
        <w:rPr>
          <w:rFonts w:hint="default" w:ascii="Times New Roman" w:hAnsi="Times New Roman" w:eastAsia="仿宋_GB2312" w:cs="Times New Roman"/>
          <w:sz w:val="32"/>
          <w:szCs w:val="32"/>
        </w:rPr>
        <w:t>100</w:t>
      </w:r>
      <w:r>
        <w:rPr>
          <w:rFonts w:hint="default" w:ascii="Times New Roman" w:hAnsi="Times New Roman" w:eastAsia="仿宋_GB2312" w:cs="Times New Roman"/>
          <w:color w:val="auto"/>
          <w:kern w:val="2"/>
          <w:sz w:val="32"/>
          <w:szCs w:val="32"/>
          <w:highlight w:val="none"/>
          <w:lang w:val="en-US" w:eastAsia="zh-CN" w:bidi="ar-SA"/>
        </w:rPr>
        <w:t>%，较上年度减少0.11万元，下降4.68%。</w:t>
      </w:r>
      <w:r>
        <w:rPr>
          <w:rFonts w:hint="default" w:ascii="Times New Roman" w:hAnsi="Times New Roman" w:eastAsia="仿宋" w:cs="Times New Roman"/>
          <w:color w:val="auto"/>
          <w:sz w:val="32"/>
          <w:szCs w:val="32"/>
        </w:rPr>
        <w:t>决算数与预算数持平。</w:t>
      </w:r>
    </w:p>
    <w:p w14:paraId="288DFBD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39" w:name="_Toc15377217"/>
      <w:r>
        <w:rPr>
          <w:rFonts w:hint="default" w:ascii="Times New Roman" w:hAnsi="Times New Roman" w:eastAsia="楷体_GB2312" w:cs="Times New Roman"/>
          <w:b/>
          <w:color w:val="auto"/>
          <w:sz w:val="32"/>
          <w:szCs w:val="32"/>
          <w:highlight w:val="none"/>
        </w:rPr>
        <w:t>（二）“三公”经费财政拨款支出决算具体情况说明</w:t>
      </w:r>
      <w:bookmarkEnd w:id="39"/>
    </w:p>
    <w:p w14:paraId="260F4B4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2024年度“三公”经费财政拨款支出决算中，因公出国（境）费支出决算</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万元，占0%；公务用车购置及运行维护费支出决算</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auto"/>
          <w:kern w:val="2"/>
          <w:sz w:val="32"/>
          <w:szCs w:val="32"/>
          <w:highlight w:val="none"/>
          <w:lang w:val="en-US" w:eastAsia="zh-CN" w:bidi="ar-SA"/>
        </w:rPr>
        <w:t>万元，占50.45%；公务接待费支出决算</w:t>
      </w:r>
      <w:r>
        <w:rPr>
          <w:rFonts w:hint="default" w:ascii="Times New Roman" w:hAnsi="Times New Roman" w:eastAsia="仿宋_GB2312" w:cs="Times New Roman"/>
          <w:sz w:val="32"/>
          <w:szCs w:val="32"/>
        </w:rPr>
        <w:t>1.11</w:t>
      </w:r>
      <w:r>
        <w:rPr>
          <w:rFonts w:hint="default" w:ascii="Times New Roman" w:hAnsi="Times New Roman" w:eastAsia="仿宋_GB2312" w:cs="Times New Roman"/>
          <w:color w:val="auto"/>
          <w:kern w:val="2"/>
          <w:sz w:val="32"/>
          <w:szCs w:val="32"/>
          <w:highlight w:val="none"/>
          <w:lang w:val="en-US" w:eastAsia="zh-CN" w:bidi="ar-SA"/>
        </w:rPr>
        <w:t>万元，占49.55%。具体情况如下：</w:t>
      </w:r>
    </w:p>
    <w:p w14:paraId="36CB1767">
      <w:pPr>
        <w:keepNext w:val="0"/>
        <w:keepLines w:val="0"/>
        <w:pageBreakBefore w:val="0"/>
        <w:widowControl w:val="0"/>
        <w:kinsoku/>
        <w:wordWrap/>
        <w:overflowPunct/>
        <w:topLinePunct w:val="0"/>
        <w:autoSpaceDE/>
        <w:autoSpaceDN/>
        <w:bidi w:val="0"/>
        <w:adjustRightInd/>
        <w:snapToGrid/>
        <w:spacing w:line="360" w:lineRule="auto"/>
        <w:ind w:firstLine="640"/>
        <w:jc w:val="center"/>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4826000" cy="2743200"/>
            <wp:effectExtent l="4445" t="4445" r="8255" b="52705"/>
            <wp:docPr id="10" name="图表 9" descr="7b0a202020202263686172745265734964223a202232303436383535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480D7B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SA"/>
        </w:rPr>
        <w:t>1.因公出国（境）经费支出0万元，完成预算0%。</w:t>
      </w:r>
      <w:r>
        <w:rPr>
          <w:rFonts w:hint="default" w:ascii="Times New Roman" w:hAnsi="Times New Roman" w:eastAsia="仿宋_GB2312" w:cs="Times New Roman"/>
          <w:color w:val="auto"/>
          <w:sz w:val="32"/>
          <w:szCs w:val="32"/>
          <w:highlight w:val="none"/>
        </w:rPr>
        <w:t>全年安排因公出国（境）团组</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次，出国（境）</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人。因公出国（境）支出决算比</w:t>
      </w:r>
      <w:r>
        <w:rPr>
          <w:rFonts w:hint="default" w:ascii="Times New Roman" w:hAnsi="Times New Roman" w:eastAsia="仿宋_GB2312" w:cs="Times New Roman"/>
          <w:color w:val="auto"/>
          <w:sz w:val="32"/>
          <w:szCs w:val="32"/>
          <w:highlight w:val="none"/>
          <w:lang w:eastAsia="zh-CN"/>
        </w:rPr>
        <w:t>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增加</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万元，增长</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w:t>
      </w:r>
    </w:p>
    <w:p w14:paraId="3FED74E6">
      <w:pPr>
        <w:keepNext w:val="0"/>
        <w:keepLines w:val="0"/>
        <w:pageBreakBefore w:val="0"/>
        <w:widowControl w:val="0"/>
        <w:numPr>
          <w:ilvl w:val="0"/>
          <w:numId w:val="0"/>
        </w:numPr>
        <w:kinsoku/>
        <w:wordWrap/>
        <w:overflowPunct/>
        <w:topLinePunct w:val="0"/>
        <w:autoSpaceDE/>
        <w:autoSpaceDN/>
        <w:bidi w:val="0"/>
        <w:spacing w:line="600" w:lineRule="exact"/>
        <w:ind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bCs/>
          <w:color w:val="auto"/>
          <w:kern w:val="2"/>
          <w:sz w:val="32"/>
          <w:szCs w:val="32"/>
          <w:highlight w:val="none"/>
          <w:lang w:val="en-US" w:eastAsia="zh-CN" w:bidi="ar-SA"/>
        </w:rPr>
        <w:t>2.公务用车购置及运行维护费支出1.13万元，完成预算100%。</w:t>
      </w:r>
      <w:r>
        <w:rPr>
          <w:rFonts w:hint="default" w:ascii="Times New Roman" w:hAnsi="Times New Roman" w:eastAsia="仿宋_GB2312" w:cs="Times New Roman"/>
          <w:color w:val="auto"/>
          <w:kern w:val="2"/>
          <w:sz w:val="32"/>
          <w:szCs w:val="32"/>
          <w:highlight w:val="none"/>
          <w:lang w:val="en-US" w:eastAsia="zh-CN" w:bidi="ar-SA"/>
        </w:rPr>
        <w:t>公务用车购置及运行维护费支出决算比2023年度减少0.04万元，下降3.42%。</w:t>
      </w:r>
      <w:r>
        <w:rPr>
          <w:rFonts w:hint="default" w:ascii="Times New Roman" w:hAnsi="Times New Roman" w:eastAsia="仿宋_GB2312" w:cs="Times New Roman"/>
          <w:color w:val="auto"/>
          <w:sz w:val="32"/>
          <w:szCs w:val="32"/>
          <w:highlight w:val="none"/>
        </w:rPr>
        <w:t>主要原因是</w:t>
      </w:r>
      <w:r>
        <w:rPr>
          <w:rFonts w:hint="default" w:ascii="Times New Roman" w:hAnsi="Times New Roman" w:eastAsia="仿宋_GB2312" w:cs="Times New Roman"/>
          <w:color w:val="auto"/>
          <w:sz w:val="32"/>
          <w:szCs w:val="32"/>
          <w:highlight w:val="none"/>
          <w:lang w:eastAsia="zh-CN"/>
        </w:rPr>
        <w:t>压减</w:t>
      </w:r>
      <w:r>
        <w:rPr>
          <w:rFonts w:hint="default" w:ascii="Times New Roman" w:hAnsi="Times New Roman" w:eastAsia="仿宋_GB2312" w:cs="Times New Roman"/>
          <w:color w:val="auto"/>
          <w:sz w:val="32"/>
          <w:szCs w:val="32"/>
          <w:highlight w:val="none"/>
        </w:rPr>
        <w:t>公务用车购置及运行维护</w:t>
      </w:r>
      <w:r>
        <w:rPr>
          <w:rFonts w:hint="default" w:ascii="Times New Roman" w:hAnsi="Times New Roman" w:eastAsia="仿宋_GB2312" w:cs="Times New Roman"/>
          <w:color w:val="auto"/>
          <w:sz w:val="32"/>
          <w:szCs w:val="32"/>
          <w:highlight w:val="none"/>
          <w:lang w:eastAsia="zh-CN"/>
        </w:rPr>
        <w:t>支出</w:t>
      </w:r>
      <w:r>
        <w:rPr>
          <w:rFonts w:hint="default" w:ascii="Times New Roman" w:hAnsi="Times New Roman" w:eastAsia="仿宋_GB2312" w:cs="Times New Roman"/>
          <w:color w:val="auto"/>
          <w:sz w:val="32"/>
          <w:szCs w:val="32"/>
          <w:highlight w:val="none"/>
        </w:rPr>
        <w:t>。</w:t>
      </w:r>
    </w:p>
    <w:p w14:paraId="36A1E2D7">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其中：公务用车购置支出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万元。全年按规定更新购置公务用车0辆，其中：轿车0辆、金额0万元，越野车0辆、金额0万元，载客汽车0辆、金额0万元。截至2024年12月31日，单位共有公务用车1辆，其中：轿车1辆、越野车0辆、载客汽车0辆。</w:t>
      </w:r>
    </w:p>
    <w:p w14:paraId="451FAC42">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2"/>
          <w:sz w:val="32"/>
          <w:szCs w:val="32"/>
          <w:highlight w:val="none"/>
          <w:lang w:val="en-US" w:eastAsia="zh-CN" w:bidi="ar-SA"/>
        </w:rPr>
        <w:t>公务用车运行维护费支出</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_GB2312" w:cs="Times New Roman"/>
          <w:color w:val="auto"/>
          <w:sz w:val="32"/>
          <w:szCs w:val="32"/>
        </w:rPr>
        <w:t>主要用于</w:t>
      </w:r>
      <w:r>
        <w:rPr>
          <w:rFonts w:hint="default" w:ascii="Times New Roman" w:hAnsi="Times New Roman" w:eastAsia="仿宋_GB2312" w:cs="Times New Roman"/>
          <w:color w:val="auto"/>
          <w:sz w:val="32"/>
          <w:szCs w:val="32"/>
          <w:lang w:eastAsia="zh-CN"/>
        </w:rPr>
        <w:t>工伤预防到</w:t>
      </w:r>
      <w:r>
        <w:rPr>
          <w:rFonts w:hint="default" w:ascii="Times New Roman" w:hAnsi="Times New Roman" w:eastAsia="仿宋_GB2312" w:cs="Times New Roman"/>
          <w:color w:val="auto"/>
          <w:sz w:val="32"/>
          <w:szCs w:val="32"/>
        </w:rPr>
        <w:t>厂矿、企业、医疗机构开展调查取证、现场勘验和常规急救等专业技术工作等所需的公务用车燃料费、维修费、过路过桥费、保险费等支出。</w:t>
      </w:r>
    </w:p>
    <w:p w14:paraId="570B942A">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b/>
          <w:bCs/>
          <w:color w:val="auto"/>
          <w:kern w:val="2"/>
          <w:sz w:val="32"/>
          <w:szCs w:val="32"/>
          <w:highlight w:val="none"/>
          <w:lang w:val="en-US" w:eastAsia="zh-CN" w:bidi="ar-SA"/>
        </w:rPr>
        <w:t>3.公务接待费支出1.11万元，完成预算100%。</w:t>
      </w:r>
      <w:r>
        <w:rPr>
          <w:rFonts w:hint="default" w:ascii="Times New Roman" w:hAnsi="Times New Roman" w:eastAsia="仿宋_GB2312" w:cs="Times New Roman"/>
          <w:color w:val="auto"/>
          <w:kern w:val="2"/>
          <w:sz w:val="32"/>
          <w:szCs w:val="32"/>
          <w:highlight w:val="none"/>
          <w:lang w:val="en-US" w:eastAsia="zh-CN" w:bidi="ar-SA"/>
        </w:rPr>
        <w:t>公务接待费支出决算比2023年度减少0.07万元，下降5.93%。</w:t>
      </w:r>
      <w:r>
        <w:rPr>
          <w:rFonts w:hint="default" w:ascii="Times New Roman" w:hAnsi="Times New Roman" w:eastAsia="仿宋_GB2312" w:cs="Times New Roman"/>
          <w:color w:val="000000"/>
          <w:sz w:val="32"/>
          <w:szCs w:val="32"/>
          <w:highlight w:val="none"/>
        </w:rPr>
        <w:t>主要原因是</w:t>
      </w:r>
      <w:r>
        <w:rPr>
          <w:rFonts w:hint="default" w:ascii="Times New Roman" w:hAnsi="Times New Roman" w:eastAsia="仿宋_GB2312" w:cs="Times New Roman"/>
          <w:color w:val="000000"/>
          <w:sz w:val="32"/>
          <w:szCs w:val="32"/>
          <w:highlight w:val="none"/>
          <w:lang w:eastAsia="zh-CN"/>
        </w:rPr>
        <w:t>接待批次和人数比</w:t>
      </w:r>
      <w:r>
        <w:rPr>
          <w:rFonts w:hint="default" w:ascii="Times New Roman" w:hAnsi="Times New Roman" w:eastAsia="仿宋_GB2312" w:cs="Times New Roman"/>
          <w:color w:val="000000"/>
          <w:sz w:val="32"/>
          <w:szCs w:val="32"/>
          <w:highlight w:val="none"/>
          <w:lang w:val="en-US" w:eastAsia="zh-CN"/>
        </w:rPr>
        <w:t>2023年度减少。</w:t>
      </w:r>
      <w:r>
        <w:rPr>
          <w:rFonts w:hint="default" w:ascii="Times New Roman" w:hAnsi="Times New Roman" w:eastAsia="仿宋_GB2312" w:cs="Times New Roman"/>
          <w:color w:val="auto"/>
          <w:kern w:val="2"/>
          <w:sz w:val="32"/>
          <w:szCs w:val="32"/>
          <w:highlight w:val="none"/>
          <w:lang w:val="en-US" w:eastAsia="zh-CN" w:bidi="ar-SA"/>
        </w:rPr>
        <w:t>其中：</w:t>
      </w:r>
    </w:p>
    <w:p w14:paraId="16A3F78E">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国内公务接待支出</w:t>
      </w:r>
      <w:r>
        <w:rPr>
          <w:rFonts w:hint="default" w:ascii="Times New Roman" w:hAnsi="Times New Roman" w:eastAsia="仿宋_GB2312" w:cs="Times New Roman"/>
          <w:sz w:val="32"/>
          <w:szCs w:val="32"/>
        </w:rPr>
        <w:t>1.11</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rPr>
        <w:t>厅、省</w:t>
      </w:r>
      <w:r>
        <w:rPr>
          <w:rFonts w:hint="default"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rPr>
        <w:t>局领导</w:t>
      </w:r>
      <w:r>
        <w:rPr>
          <w:rFonts w:hint="default" w:ascii="Times New Roman" w:hAnsi="Times New Roman" w:eastAsia="仿宋_GB2312" w:cs="Times New Roman"/>
          <w:color w:val="000000"/>
          <w:sz w:val="32"/>
          <w:szCs w:val="32"/>
          <w:lang w:eastAsia="zh-CN"/>
        </w:rPr>
        <w:t>和</w:t>
      </w:r>
      <w:r>
        <w:rPr>
          <w:rFonts w:hint="default" w:ascii="Times New Roman" w:hAnsi="Times New Roman" w:eastAsia="仿宋_GB2312" w:cs="Times New Roman"/>
          <w:color w:val="000000"/>
          <w:sz w:val="32"/>
          <w:szCs w:val="32"/>
        </w:rPr>
        <w:t>其他地市州单位</w:t>
      </w:r>
      <w:r>
        <w:rPr>
          <w:rFonts w:hint="default" w:ascii="Times New Roman" w:hAnsi="Times New Roman" w:eastAsia="仿宋_GB2312" w:cs="Times New Roman"/>
          <w:color w:val="000000"/>
          <w:sz w:val="32"/>
          <w:szCs w:val="32"/>
          <w:lang w:eastAsia="zh-CN"/>
        </w:rPr>
        <w:t>检查、</w:t>
      </w:r>
      <w:r>
        <w:rPr>
          <w:rFonts w:hint="default" w:ascii="Times New Roman" w:hAnsi="Times New Roman" w:eastAsia="仿宋_GB2312" w:cs="Times New Roman"/>
          <w:color w:val="000000"/>
          <w:sz w:val="32"/>
          <w:szCs w:val="32"/>
        </w:rPr>
        <w:t>调研用餐费。</w:t>
      </w:r>
      <w:r>
        <w:rPr>
          <w:rFonts w:hint="default" w:ascii="Times New Roman" w:hAnsi="Times New Roman" w:eastAsia="仿宋_GB2312" w:cs="Times New Roman"/>
          <w:color w:val="auto"/>
          <w:kern w:val="2"/>
          <w:sz w:val="32"/>
          <w:szCs w:val="32"/>
          <w:highlight w:val="none"/>
          <w:lang w:val="en-US" w:eastAsia="zh-CN" w:bidi="ar-SA"/>
        </w:rPr>
        <w:t>国内公务接待</w:t>
      </w:r>
      <w:r>
        <w:rPr>
          <w:rFonts w:hint="default" w:ascii="Times New Roman" w:hAnsi="Times New Roman" w:eastAsia="仿宋_GB2312" w:cs="Times New Roman"/>
          <w:sz w:val="32"/>
          <w:szCs w:val="32"/>
        </w:rPr>
        <w:t>6</w:t>
      </w:r>
      <w:r>
        <w:rPr>
          <w:rFonts w:hint="default" w:ascii="Times New Roman" w:hAnsi="Times New Roman" w:eastAsia="仿宋_GB2312" w:cs="Times New Roman"/>
          <w:color w:val="auto"/>
          <w:kern w:val="2"/>
          <w:sz w:val="32"/>
          <w:szCs w:val="32"/>
          <w:highlight w:val="none"/>
          <w:lang w:val="en-US" w:eastAsia="zh-CN" w:bidi="ar-SA"/>
        </w:rPr>
        <w:t>批次，</w:t>
      </w:r>
      <w:r>
        <w:rPr>
          <w:rFonts w:hint="default" w:ascii="Times New Roman" w:hAnsi="Times New Roman" w:eastAsia="仿宋_GB2312" w:cs="Times New Roman"/>
          <w:sz w:val="32"/>
          <w:szCs w:val="32"/>
        </w:rPr>
        <w:t>47</w:t>
      </w:r>
      <w:r>
        <w:rPr>
          <w:rFonts w:hint="default" w:ascii="Times New Roman" w:hAnsi="Times New Roman" w:eastAsia="仿宋_GB2312" w:cs="Times New Roman"/>
          <w:color w:val="auto"/>
          <w:kern w:val="2"/>
          <w:sz w:val="32"/>
          <w:szCs w:val="32"/>
          <w:highlight w:val="none"/>
          <w:lang w:val="en-US" w:eastAsia="zh-CN" w:bidi="ar-SA"/>
        </w:rPr>
        <w:t>人次（不包括陪同人员），共计支出1.11万元，具体内容包括：</w:t>
      </w:r>
    </w:p>
    <w:p w14:paraId="08370F5D">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（1）接待</w:t>
      </w:r>
      <w:r>
        <w:rPr>
          <w:rFonts w:hint="eastAsia"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lang w:eastAsia="zh-CN"/>
        </w:rPr>
        <w:t>厅</w:t>
      </w:r>
      <w:r>
        <w:rPr>
          <w:rFonts w:hint="default"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调研工伤疑点数据核查工作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1924</w:t>
      </w:r>
      <w:r>
        <w:rPr>
          <w:rFonts w:hint="default" w:ascii="Times New Roman" w:hAnsi="Times New Roman" w:eastAsia="仿宋_GB2312" w:cs="Times New Roman"/>
          <w:color w:val="000000"/>
          <w:sz w:val="32"/>
          <w:szCs w:val="32"/>
        </w:rPr>
        <w:t>元。</w:t>
      </w:r>
    </w:p>
    <w:p w14:paraId="4BF640DB">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（2）接待</w:t>
      </w:r>
      <w:r>
        <w:rPr>
          <w:rFonts w:hint="eastAsia"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lang w:eastAsia="zh-CN"/>
        </w:rPr>
        <w:t>厅</w:t>
      </w:r>
      <w:r>
        <w:rPr>
          <w:rFonts w:hint="default"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调研工伤保险相关</w:t>
      </w:r>
      <w:r>
        <w:rPr>
          <w:rFonts w:hint="default" w:ascii="Times New Roman" w:hAnsi="Times New Roman" w:eastAsia="仿宋_GB2312" w:cs="Times New Roman"/>
          <w:color w:val="000000"/>
          <w:sz w:val="32"/>
          <w:szCs w:val="32"/>
        </w:rPr>
        <w:t>工作，公务接待支出</w:t>
      </w:r>
      <w:r>
        <w:rPr>
          <w:rFonts w:hint="default" w:ascii="Times New Roman" w:hAnsi="Times New Roman" w:eastAsia="仿宋_GB2312" w:cs="Times New Roman"/>
          <w:color w:val="000000"/>
          <w:sz w:val="32"/>
          <w:szCs w:val="32"/>
          <w:lang w:val="en-US" w:eastAsia="zh-CN"/>
        </w:rPr>
        <w:t>2095</w:t>
      </w:r>
      <w:r>
        <w:rPr>
          <w:rFonts w:hint="default" w:ascii="Times New Roman" w:hAnsi="Times New Roman" w:eastAsia="仿宋_GB2312" w:cs="Times New Roman"/>
          <w:color w:val="000000"/>
          <w:sz w:val="32"/>
          <w:szCs w:val="32"/>
        </w:rPr>
        <w:t>元。</w:t>
      </w:r>
    </w:p>
    <w:p w14:paraId="384A189C">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（3）接待</w:t>
      </w:r>
      <w:r>
        <w:rPr>
          <w:rFonts w:hint="default" w:ascii="Times New Roman" w:hAnsi="Times New Roman" w:eastAsia="仿宋_GB2312" w:cs="Times New Roman"/>
          <w:color w:val="000000"/>
          <w:sz w:val="32"/>
          <w:szCs w:val="32"/>
          <w:lang w:eastAsia="zh-CN"/>
        </w:rPr>
        <w:t>省</w:t>
      </w:r>
      <w:r>
        <w:rPr>
          <w:rFonts w:hint="eastAsia"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6</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调研社保经办工作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1600</w:t>
      </w:r>
      <w:r>
        <w:rPr>
          <w:rFonts w:hint="default" w:ascii="Times New Roman" w:hAnsi="Times New Roman" w:eastAsia="仿宋_GB2312" w:cs="Times New Roman"/>
          <w:color w:val="000000"/>
          <w:sz w:val="32"/>
          <w:szCs w:val="32"/>
        </w:rPr>
        <w:t>元。</w:t>
      </w:r>
    </w:p>
    <w:p w14:paraId="4F2634B4">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eastAsia="zh-CN"/>
        </w:rPr>
        <w:t>省</w:t>
      </w:r>
      <w:r>
        <w:rPr>
          <w:rFonts w:hint="eastAsia"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8</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开展提前退休审批复核工作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1950</w:t>
      </w:r>
      <w:r>
        <w:rPr>
          <w:rFonts w:hint="default" w:ascii="Times New Roman" w:hAnsi="Times New Roman" w:eastAsia="仿宋_GB2312" w:cs="Times New Roman"/>
          <w:color w:val="000000"/>
          <w:sz w:val="32"/>
          <w:szCs w:val="32"/>
        </w:rPr>
        <w:t>元。</w:t>
      </w:r>
    </w:p>
    <w:p w14:paraId="07462BDB">
      <w:pPr>
        <w:keepNext w:val="0"/>
        <w:keepLines w:val="0"/>
        <w:pageBreakBefore w:val="0"/>
        <w:widowControl w:val="0"/>
        <w:tabs>
          <w:tab w:val="left" w:pos="2031"/>
        </w:tabs>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5</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eastAsia="zh-CN"/>
        </w:rPr>
        <w:t>黄石市</w:t>
      </w:r>
      <w:r>
        <w:rPr>
          <w:rFonts w:hint="eastAsia" w:ascii="Times New Roman" w:hAnsi="Times New Roman" w:eastAsia="仿宋_GB2312" w:cs="Times New Roman"/>
          <w:color w:val="000000"/>
          <w:sz w:val="32"/>
          <w:szCs w:val="32"/>
          <w:lang w:val="en-US" w:eastAsia="zh-CN"/>
        </w:rPr>
        <w:t>人力资源社会保障</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7</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调研超龄人员参加工伤保险工作</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1645</w:t>
      </w:r>
      <w:r>
        <w:rPr>
          <w:rFonts w:hint="default" w:ascii="Times New Roman" w:hAnsi="Times New Roman" w:eastAsia="仿宋_GB2312" w:cs="Times New Roman"/>
          <w:color w:val="000000"/>
          <w:sz w:val="32"/>
          <w:szCs w:val="32"/>
        </w:rPr>
        <w:t>元。</w:t>
      </w:r>
    </w:p>
    <w:p w14:paraId="0C2A4BD9">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6</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接待</w:t>
      </w:r>
      <w:r>
        <w:rPr>
          <w:rFonts w:hint="default" w:ascii="Times New Roman" w:hAnsi="Times New Roman" w:eastAsia="仿宋_GB2312" w:cs="Times New Roman"/>
          <w:color w:val="000000"/>
          <w:sz w:val="32"/>
          <w:szCs w:val="32"/>
          <w:lang w:eastAsia="zh-CN"/>
        </w:rPr>
        <w:t>省</w:t>
      </w:r>
      <w:r>
        <w:rPr>
          <w:rFonts w:hint="eastAsia" w:ascii="Times New Roman" w:hAnsi="Times New Roman" w:eastAsia="仿宋_GB2312" w:cs="Times New Roman"/>
          <w:color w:val="000000"/>
          <w:sz w:val="32"/>
          <w:szCs w:val="32"/>
          <w:lang w:val="en-US" w:eastAsia="zh-CN"/>
        </w:rPr>
        <w:t>社会保险管理</w:t>
      </w:r>
      <w:r>
        <w:rPr>
          <w:rFonts w:hint="default" w:ascii="Times New Roman" w:hAnsi="Times New Roman" w:eastAsia="仿宋_GB2312" w:cs="Times New Roman"/>
          <w:color w:val="000000"/>
          <w:sz w:val="32"/>
          <w:szCs w:val="32"/>
          <w:lang w:eastAsia="zh-CN"/>
        </w:rPr>
        <w:t>局</w:t>
      </w:r>
      <w:r>
        <w:rPr>
          <w:rFonts w:hint="default" w:ascii="Times New Roman" w:hAnsi="Times New Roman" w:eastAsia="仿宋_GB2312" w:cs="Times New Roman"/>
          <w:color w:val="000000"/>
          <w:sz w:val="32"/>
          <w:szCs w:val="32"/>
          <w:lang w:val="en-US" w:eastAsia="zh-CN"/>
        </w:rPr>
        <w:t>8</w:t>
      </w:r>
      <w:r>
        <w:rPr>
          <w:rFonts w:hint="default" w:ascii="Times New Roman" w:hAnsi="Times New Roman" w:eastAsia="仿宋_GB2312" w:cs="Times New Roman"/>
          <w:color w:val="000000"/>
          <w:sz w:val="32"/>
          <w:szCs w:val="32"/>
        </w:rPr>
        <w:t>名同志到我中心</w:t>
      </w:r>
      <w:r>
        <w:rPr>
          <w:rFonts w:hint="default" w:ascii="Times New Roman" w:hAnsi="Times New Roman" w:eastAsia="仿宋_GB2312" w:cs="Times New Roman"/>
          <w:color w:val="000000"/>
          <w:sz w:val="32"/>
          <w:szCs w:val="32"/>
          <w:lang w:eastAsia="zh-CN"/>
        </w:rPr>
        <w:t>调研工伤智能监审系统</w:t>
      </w:r>
      <w:r>
        <w:rPr>
          <w:rFonts w:hint="eastAsia" w:ascii="Times New Roman" w:hAnsi="Times New Roman" w:eastAsia="仿宋_GB2312" w:cs="Times New Roman"/>
          <w:color w:val="000000"/>
          <w:sz w:val="32"/>
          <w:szCs w:val="32"/>
          <w:lang w:val="en-US" w:eastAsia="zh-CN"/>
        </w:rPr>
        <w:t>建设情况</w:t>
      </w:r>
      <w:r>
        <w:rPr>
          <w:rFonts w:hint="default" w:ascii="Times New Roman" w:hAnsi="Times New Roman" w:eastAsia="仿宋_GB2312" w:cs="Times New Roman"/>
          <w:color w:val="000000"/>
          <w:sz w:val="32"/>
          <w:szCs w:val="32"/>
        </w:rPr>
        <w:t>，公务接待支出</w:t>
      </w:r>
      <w:r>
        <w:rPr>
          <w:rFonts w:hint="default" w:ascii="Times New Roman" w:hAnsi="Times New Roman" w:eastAsia="仿宋_GB2312" w:cs="Times New Roman"/>
          <w:color w:val="000000"/>
          <w:sz w:val="32"/>
          <w:szCs w:val="32"/>
          <w:lang w:val="en-US" w:eastAsia="zh-CN"/>
        </w:rPr>
        <w:t>1921</w:t>
      </w:r>
      <w:r>
        <w:rPr>
          <w:rFonts w:hint="default" w:ascii="Times New Roman" w:hAnsi="Times New Roman" w:eastAsia="仿宋_GB2312" w:cs="Times New Roman"/>
          <w:color w:val="000000"/>
          <w:sz w:val="32"/>
          <w:szCs w:val="32"/>
        </w:rPr>
        <w:t>元。</w:t>
      </w:r>
    </w:p>
    <w:p w14:paraId="5A7294CE">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外事接待支出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万元，外事接待</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批次，</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人次（不包括陪同人员），共计支出0万元。</w:t>
      </w:r>
    </w:p>
    <w:p w14:paraId="47BE9885">
      <w:pPr>
        <w:keepNext w:val="0"/>
        <w:keepLines w:val="0"/>
        <w:pageBreakBefore w:val="0"/>
        <w:widowControl w:val="0"/>
        <w:kinsoku/>
        <w:wordWrap/>
        <w:overflowPunct/>
        <w:topLinePunct w:val="0"/>
        <w:autoSpaceDE/>
        <w:autoSpaceDN/>
        <w:bidi w:val="0"/>
        <w:spacing w:line="600" w:lineRule="exact"/>
        <w:ind w:firstLine="640"/>
        <w:textAlignment w:val="auto"/>
        <w:outlineLvl w:val="1"/>
        <w:rPr>
          <w:rStyle w:val="32"/>
          <w:rFonts w:hint="default" w:ascii="Times New Roman" w:hAnsi="Times New Roman" w:eastAsia="黑体" w:cs="Times New Roman"/>
          <w:color w:val="auto"/>
          <w:highlight w:val="none"/>
        </w:rPr>
      </w:pPr>
      <w:bookmarkStart w:id="40" w:name="_Toc15396610"/>
      <w:bookmarkStart w:id="41" w:name="_Toc15377218"/>
      <w:r>
        <w:rPr>
          <w:rFonts w:hint="default" w:ascii="Times New Roman" w:hAnsi="Times New Roman" w:eastAsia="黑体" w:cs="Times New Roman"/>
          <w:color w:val="auto"/>
          <w:sz w:val="32"/>
          <w:szCs w:val="32"/>
          <w:highlight w:val="none"/>
        </w:rPr>
        <w:t>八、</w:t>
      </w:r>
      <w:r>
        <w:rPr>
          <w:rStyle w:val="32"/>
          <w:rFonts w:hint="default" w:ascii="Times New Roman" w:hAnsi="Times New Roman" w:eastAsia="黑体" w:cs="Times New Roman"/>
          <w:b w:val="0"/>
          <w:color w:val="auto"/>
          <w:highlight w:val="none"/>
        </w:rPr>
        <w:t>政府性基金预算支出决算情况说明</w:t>
      </w:r>
      <w:bookmarkEnd w:id="40"/>
      <w:bookmarkEnd w:id="41"/>
    </w:p>
    <w:p w14:paraId="48ED82EB">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2024年</w:t>
      </w:r>
      <w:bookmarkStart w:id="42" w:name="_Toc15396611"/>
      <w:bookmarkStart w:id="43" w:name="_Toc15377219"/>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政府性基金预算</w:t>
      </w:r>
      <w:r>
        <w:rPr>
          <w:rFonts w:hint="default" w:ascii="Times New Roman" w:hAnsi="Times New Roman" w:eastAsia="仿宋_GB2312" w:cs="Times New Roman"/>
          <w:color w:val="auto"/>
          <w:sz w:val="32"/>
          <w:szCs w:val="32"/>
          <w:highlight w:val="none"/>
          <w:lang w:eastAsia="zh-CN"/>
        </w:rPr>
        <w:t>财政</w:t>
      </w:r>
      <w:r>
        <w:rPr>
          <w:rFonts w:hint="default" w:ascii="Times New Roman" w:hAnsi="Times New Roman" w:eastAsia="仿宋_GB2312" w:cs="Times New Roman"/>
          <w:color w:val="auto"/>
          <w:sz w:val="32"/>
          <w:szCs w:val="32"/>
          <w:highlight w:val="none"/>
        </w:rPr>
        <w:t>拨款支出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w:t>
      </w:r>
    </w:p>
    <w:p w14:paraId="214775E7">
      <w:pPr>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outlineLvl w:val="1"/>
        <w:rPr>
          <w:rStyle w:val="32"/>
          <w:rFonts w:hint="default" w:ascii="Times New Roman" w:hAnsi="Times New Roman" w:eastAsia="黑体" w:cs="Times New Roman"/>
          <w:b w:val="0"/>
          <w:color w:val="auto"/>
          <w:highlight w:val="none"/>
        </w:rPr>
      </w:pPr>
      <w:r>
        <w:rPr>
          <w:rStyle w:val="32"/>
          <w:rFonts w:hint="default" w:ascii="Times New Roman" w:hAnsi="Times New Roman" w:eastAsia="黑体" w:cs="Times New Roman"/>
          <w:b w:val="0"/>
          <w:color w:val="auto"/>
          <w:highlight w:val="none"/>
          <w:lang w:eastAsia="zh-CN"/>
        </w:rPr>
        <w:t>九、</w:t>
      </w:r>
      <w:r>
        <w:rPr>
          <w:rStyle w:val="32"/>
          <w:rFonts w:hint="default" w:ascii="Times New Roman" w:hAnsi="Times New Roman" w:eastAsia="黑体" w:cs="Times New Roman"/>
          <w:b w:val="0"/>
          <w:color w:val="auto"/>
          <w:highlight w:val="none"/>
        </w:rPr>
        <w:t>国有资本经营预算支出决算情况说明</w:t>
      </w:r>
      <w:bookmarkEnd w:id="42"/>
      <w:bookmarkEnd w:id="43"/>
    </w:p>
    <w:p w14:paraId="23FA6D72">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2024</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国有资本经营预算</w:t>
      </w:r>
      <w:r>
        <w:rPr>
          <w:rFonts w:hint="default" w:ascii="Times New Roman" w:hAnsi="Times New Roman" w:eastAsia="仿宋_GB2312" w:cs="Times New Roman"/>
          <w:color w:val="auto"/>
          <w:sz w:val="32"/>
          <w:szCs w:val="32"/>
          <w:highlight w:val="none"/>
          <w:lang w:eastAsia="zh-CN"/>
        </w:rPr>
        <w:t>财政</w:t>
      </w:r>
      <w:r>
        <w:rPr>
          <w:rFonts w:hint="default" w:ascii="Times New Roman" w:hAnsi="Times New Roman" w:eastAsia="仿宋_GB2312" w:cs="Times New Roman"/>
          <w:color w:val="auto"/>
          <w:sz w:val="32"/>
          <w:szCs w:val="32"/>
          <w:highlight w:val="none"/>
        </w:rPr>
        <w:t>拨款支出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万元。</w:t>
      </w:r>
    </w:p>
    <w:p w14:paraId="230BDCFE">
      <w:pPr>
        <w:keepNext w:val="0"/>
        <w:keepLines w:val="0"/>
        <w:pageBreakBefore w:val="0"/>
        <w:widowControl w:val="0"/>
        <w:numPr>
          <w:ilvl w:val="0"/>
          <w:numId w:val="0"/>
        </w:numPr>
        <w:kinsoku/>
        <w:wordWrap/>
        <w:overflowPunct/>
        <w:topLinePunct w:val="0"/>
        <w:autoSpaceDE/>
        <w:autoSpaceDN/>
        <w:bidi w:val="0"/>
        <w:spacing w:line="600" w:lineRule="exact"/>
        <w:ind w:left="630" w:leftChars="0"/>
        <w:textAlignment w:val="auto"/>
        <w:outlineLvl w:val="1"/>
        <w:rPr>
          <w:rStyle w:val="32"/>
          <w:rFonts w:hint="default" w:ascii="Times New Roman" w:hAnsi="Times New Roman" w:eastAsia="黑体" w:cs="Times New Roman"/>
          <w:b w:val="0"/>
          <w:color w:val="auto"/>
          <w:highlight w:val="none"/>
        </w:rPr>
      </w:pPr>
      <w:bookmarkStart w:id="44" w:name="_Toc15377221"/>
      <w:bookmarkStart w:id="45" w:name="_Toc15396612"/>
      <w:r>
        <w:rPr>
          <w:rStyle w:val="32"/>
          <w:rFonts w:hint="default" w:ascii="Times New Roman" w:hAnsi="Times New Roman" w:eastAsia="黑体" w:cs="Times New Roman"/>
          <w:b w:val="0"/>
          <w:color w:val="auto"/>
          <w:highlight w:val="none"/>
          <w:lang w:eastAsia="zh-CN"/>
        </w:rPr>
        <w:t>十、</w:t>
      </w:r>
      <w:r>
        <w:rPr>
          <w:rStyle w:val="32"/>
          <w:rFonts w:hint="default" w:ascii="Times New Roman" w:hAnsi="Times New Roman" w:eastAsia="黑体" w:cs="Times New Roman"/>
          <w:b w:val="0"/>
          <w:color w:val="auto"/>
          <w:highlight w:val="none"/>
        </w:rPr>
        <w:t>其他重要事项的情况说明</w:t>
      </w:r>
      <w:bookmarkEnd w:id="44"/>
      <w:bookmarkEnd w:id="45"/>
    </w:p>
    <w:p w14:paraId="264F05C6">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46" w:name="_Toc15377222"/>
      <w:r>
        <w:rPr>
          <w:rFonts w:hint="default" w:ascii="Times New Roman" w:hAnsi="Times New Roman" w:eastAsia="楷体_GB2312" w:cs="Times New Roman"/>
          <w:b/>
          <w:color w:val="auto"/>
          <w:sz w:val="32"/>
          <w:szCs w:val="32"/>
          <w:highlight w:val="none"/>
        </w:rPr>
        <w:t>（一）机关运行经费支出情况</w:t>
      </w:r>
      <w:bookmarkEnd w:id="46"/>
    </w:p>
    <w:p w14:paraId="19E32975">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机关运行经费支出</w:t>
      </w:r>
      <w:r>
        <w:rPr>
          <w:rFonts w:hint="default" w:ascii="Times New Roman" w:hAnsi="Times New Roman" w:eastAsia="仿宋_GB2312" w:cs="Times New Roman"/>
          <w:sz w:val="32"/>
          <w:szCs w:val="32"/>
        </w:rPr>
        <w:t>140.5</w:t>
      </w:r>
      <w:r>
        <w:rPr>
          <w:rFonts w:hint="default" w:ascii="Times New Roman" w:hAnsi="Times New Roman" w:eastAsia="仿宋_GB2312" w:cs="Times New Roman"/>
          <w:color w:val="auto"/>
          <w:kern w:val="2"/>
          <w:sz w:val="32"/>
          <w:szCs w:val="32"/>
          <w:highlight w:val="none"/>
          <w:lang w:val="en-US" w:eastAsia="zh-CN" w:bidi="ar-SA"/>
        </w:rPr>
        <w:t>万元，比2023年度增加20.97万元，增长17.54%。主要原因是2024年我中心按</w:t>
      </w:r>
      <w:r>
        <w:rPr>
          <w:rFonts w:hint="eastAsia" w:ascii="Times New Roman" w:hAnsi="Times New Roman" w:eastAsia="仿宋_GB2312" w:cs="Times New Roman"/>
          <w:color w:val="auto"/>
          <w:kern w:val="2"/>
          <w:sz w:val="32"/>
          <w:szCs w:val="32"/>
          <w:highlight w:val="none"/>
          <w:lang w:val="en-US" w:eastAsia="zh-CN" w:bidi="ar-SA"/>
        </w:rPr>
        <w:t>市人力资源社会保障</w:t>
      </w:r>
      <w:r>
        <w:rPr>
          <w:rFonts w:hint="default" w:ascii="Times New Roman" w:hAnsi="Times New Roman" w:eastAsia="仿宋_GB2312" w:cs="Times New Roman"/>
          <w:color w:val="auto"/>
          <w:kern w:val="2"/>
          <w:sz w:val="32"/>
          <w:szCs w:val="32"/>
          <w:highlight w:val="none"/>
          <w:lang w:val="en-US" w:eastAsia="zh-CN" w:bidi="ar-SA"/>
        </w:rPr>
        <w:t>局要求派遣2名同志到财政部、</w:t>
      </w:r>
      <w:r>
        <w:rPr>
          <w:rFonts w:hint="eastAsia" w:ascii="Times New Roman" w:hAnsi="Times New Roman" w:eastAsia="仿宋_GB2312" w:cs="Times New Roman"/>
          <w:color w:val="auto"/>
          <w:kern w:val="2"/>
          <w:sz w:val="32"/>
          <w:szCs w:val="32"/>
          <w:highlight w:val="none"/>
          <w:lang w:val="en-US" w:eastAsia="zh-CN" w:bidi="ar-SA"/>
        </w:rPr>
        <w:t>人力资源社会保障</w:t>
      </w:r>
      <w:r>
        <w:rPr>
          <w:rFonts w:hint="default" w:ascii="Times New Roman" w:hAnsi="Times New Roman" w:eastAsia="仿宋_GB2312" w:cs="Times New Roman"/>
          <w:color w:val="auto"/>
          <w:kern w:val="2"/>
          <w:sz w:val="32"/>
          <w:szCs w:val="32"/>
          <w:highlight w:val="none"/>
          <w:lang w:val="en-US" w:eastAsia="zh-CN" w:bidi="ar-SA"/>
        </w:rPr>
        <w:t>部挂职锻炼所需的房租费和差旅费。</w:t>
      </w:r>
    </w:p>
    <w:p w14:paraId="2F57D3D6">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bookmarkStart w:id="47" w:name="_Toc15377223"/>
      <w:r>
        <w:rPr>
          <w:rFonts w:hint="default" w:ascii="Times New Roman" w:hAnsi="Times New Roman" w:eastAsia="楷体_GB2312" w:cs="Times New Roman"/>
          <w:b/>
          <w:color w:val="auto"/>
          <w:sz w:val="32"/>
          <w:szCs w:val="32"/>
          <w:highlight w:val="none"/>
        </w:rPr>
        <w:t>（二）政府采购支出情况</w:t>
      </w:r>
      <w:bookmarkEnd w:id="47"/>
    </w:p>
    <w:p w14:paraId="79C8047C">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bookmarkStart w:id="48" w:name="_Toc15377224"/>
      <w:r>
        <w:rPr>
          <w:rFonts w:hint="default" w:ascii="Times New Roman" w:hAnsi="Times New Roman" w:eastAsia="仿宋_GB2312" w:cs="Times New Roman"/>
          <w:color w:val="auto"/>
          <w:kern w:val="2"/>
          <w:sz w:val="32"/>
          <w:szCs w:val="32"/>
          <w:highlight w:val="none"/>
          <w:lang w:val="en-US" w:eastAsia="zh-CN" w:bidi="ar-SA"/>
        </w:rPr>
        <w:t>2024年度，</w:t>
      </w:r>
      <w:r>
        <w:rPr>
          <w:rFonts w:hint="default" w:ascii="Times New Roman" w:hAnsi="Times New Roman" w:eastAsia="仿宋_GB2312" w:cs="Times New Roman"/>
          <w:color w:val="auto"/>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政府采购支出总额</w:t>
      </w:r>
      <w:r>
        <w:rPr>
          <w:rFonts w:hint="default" w:ascii="Times New Roman" w:hAnsi="Times New Roman" w:eastAsia="仿宋_GB2312" w:cs="Times New Roman"/>
          <w:color w:val="auto"/>
          <w:sz w:val="32"/>
          <w:szCs w:val="32"/>
        </w:rPr>
        <w:t>427.07</w:t>
      </w:r>
      <w:r>
        <w:rPr>
          <w:rFonts w:hint="default" w:ascii="Times New Roman" w:hAnsi="Times New Roman" w:eastAsia="仿宋_GB2312" w:cs="Times New Roman"/>
          <w:color w:val="auto"/>
          <w:kern w:val="2"/>
          <w:sz w:val="32"/>
          <w:szCs w:val="32"/>
          <w:highlight w:val="none"/>
          <w:lang w:val="en-US" w:eastAsia="zh-CN" w:bidi="ar-SA"/>
        </w:rPr>
        <w:t>万元，其中：政府采购货物支出</w:t>
      </w:r>
      <w:r>
        <w:rPr>
          <w:rFonts w:hint="default" w:ascii="Times New Roman" w:hAnsi="Times New Roman" w:eastAsia="仿宋_GB2312" w:cs="Times New Roman"/>
          <w:color w:val="auto"/>
          <w:sz w:val="32"/>
          <w:szCs w:val="32"/>
        </w:rPr>
        <w:t>0</w:t>
      </w:r>
      <w:r>
        <w:rPr>
          <w:rFonts w:hint="default" w:ascii="Times New Roman" w:hAnsi="Times New Roman" w:eastAsia="仿宋_GB2312" w:cs="Times New Roman"/>
          <w:color w:val="auto"/>
          <w:kern w:val="2"/>
          <w:sz w:val="32"/>
          <w:szCs w:val="32"/>
          <w:highlight w:val="none"/>
          <w:lang w:val="en-US" w:eastAsia="zh-CN" w:bidi="ar-SA"/>
        </w:rPr>
        <w:t>万元、政府采购工程支出</w:t>
      </w:r>
      <w:r>
        <w:rPr>
          <w:rFonts w:hint="default" w:ascii="Times New Roman" w:hAnsi="Times New Roman" w:eastAsia="仿宋_GB2312" w:cs="Times New Roman"/>
          <w:color w:val="auto"/>
          <w:sz w:val="32"/>
          <w:szCs w:val="32"/>
        </w:rPr>
        <w:t>0</w:t>
      </w:r>
      <w:r>
        <w:rPr>
          <w:rFonts w:hint="default" w:ascii="Times New Roman" w:hAnsi="Times New Roman" w:eastAsia="仿宋_GB2312" w:cs="Times New Roman"/>
          <w:color w:val="auto"/>
          <w:kern w:val="2"/>
          <w:sz w:val="32"/>
          <w:szCs w:val="32"/>
          <w:highlight w:val="none"/>
          <w:lang w:val="en-US" w:eastAsia="zh-CN" w:bidi="ar-SA"/>
        </w:rPr>
        <w:t>万元、政府采购服务支出</w:t>
      </w:r>
      <w:r>
        <w:rPr>
          <w:rFonts w:hint="default" w:ascii="Times New Roman" w:hAnsi="Times New Roman" w:eastAsia="仿宋_GB2312" w:cs="Times New Roman"/>
          <w:color w:val="auto"/>
          <w:sz w:val="32"/>
          <w:szCs w:val="32"/>
        </w:rPr>
        <w:t>427.07</w:t>
      </w:r>
      <w:r>
        <w:rPr>
          <w:rFonts w:hint="default" w:ascii="Times New Roman" w:hAnsi="Times New Roman" w:eastAsia="仿宋_GB2312" w:cs="Times New Roman"/>
          <w:color w:val="auto"/>
          <w:kern w:val="2"/>
          <w:sz w:val="32"/>
          <w:szCs w:val="32"/>
          <w:highlight w:val="none"/>
          <w:lang w:val="en-US" w:eastAsia="zh-CN" w:bidi="ar-SA"/>
        </w:rPr>
        <w:t>万元。主要用于</w:t>
      </w:r>
      <w:r>
        <w:rPr>
          <w:rFonts w:hint="eastAsia" w:eastAsia="仿宋_GB2312" w:cs="Times New Roman"/>
          <w:color w:val="auto"/>
          <w:kern w:val="2"/>
          <w:sz w:val="32"/>
          <w:szCs w:val="32"/>
          <w:highlight w:val="none"/>
          <w:lang w:val="en-US" w:eastAsia="zh-CN" w:bidi="ar-SA"/>
        </w:rPr>
        <w:t>工伤预防培训及宣传项目426.6；用于公务用车加油、维修0.47万元</w:t>
      </w:r>
      <w:r>
        <w:rPr>
          <w:rFonts w:hint="default" w:ascii="Times New Roman" w:hAnsi="Times New Roman" w:eastAsia="仿宋_GB2312" w:cs="Times New Roman"/>
          <w:color w:val="auto"/>
          <w:kern w:val="2"/>
          <w:sz w:val="32"/>
          <w:szCs w:val="32"/>
          <w:highlight w:val="none"/>
          <w:lang w:val="en-US" w:eastAsia="zh-CN" w:bidi="ar-SA"/>
        </w:rPr>
        <w:t>。授予中小企业合同金额</w:t>
      </w:r>
      <w:r>
        <w:rPr>
          <w:rFonts w:hint="default" w:ascii="Times New Roman" w:hAnsi="Times New Roman" w:eastAsia="仿宋_GB2312" w:cs="Times New Roman"/>
          <w:color w:val="auto"/>
          <w:sz w:val="32"/>
          <w:szCs w:val="32"/>
        </w:rPr>
        <w:t>427.07</w:t>
      </w:r>
      <w:r>
        <w:rPr>
          <w:rFonts w:hint="default" w:ascii="Times New Roman" w:hAnsi="Times New Roman" w:eastAsia="仿宋_GB2312" w:cs="Times New Roman"/>
          <w:color w:val="auto"/>
          <w:kern w:val="2"/>
          <w:sz w:val="32"/>
          <w:szCs w:val="32"/>
          <w:highlight w:val="none"/>
          <w:lang w:val="en-US" w:eastAsia="zh-CN" w:bidi="ar-SA"/>
        </w:rPr>
        <w:t>万元，占政府采购支出总额的</w:t>
      </w:r>
      <w:r>
        <w:rPr>
          <w:rFonts w:hint="default" w:ascii="Times New Roman" w:hAnsi="Times New Roman" w:eastAsia="仿宋_GB2312" w:cs="Times New Roman"/>
          <w:color w:val="auto"/>
          <w:sz w:val="32"/>
          <w:szCs w:val="32"/>
        </w:rPr>
        <w:t>100</w:t>
      </w:r>
      <w:r>
        <w:rPr>
          <w:rFonts w:hint="default" w:ascii="Times New Roman" w:hAnsi="Times New Roman" w:eastAsia="仿宋_GB2312" w:cs="Times New Roman"/>
          <w:color w:val="auto"/>
          <w:kern w:val="2"/>
          <w:sz w:val="32"/>
          <w:szCs w:val="32"/>
          <w:highlight w:val="none"/>
          <w:lang w:val="en-US" w:eastAsia="zh-CN" w:bidi="ar-SA"/>
        </w:rPr>
        <w:t>%，其中：授予小微企业合同金额</w:t>
      </w:r>
      <w:r>
        <w:rPr>
          <w:rFonts w:hint="default" w:ascii="Times New Roman" w:hAnsi="Times New Roman" w:eastAsia="仿宋_GB2312" w:cs="Times New Roman"/>
          <w:color w:val="auto"/>
          <w:sz w:val="32"/>
          <w:szCs w:val="32"/>
        </w:rPr>
        <w:t>249.97</w:t>
      </w:r>
      <w:r>
        <w:rPr>
          <w:rFonts w:hint="default" w:ascii="Times New Roman" w:hAnsi="Times New Roman" w:eastAsia="仿宋_GB2312" w:cs="Times New Roman"/>
          <w:color w:val="auto"/>
          <w:kern w:val="2"/>
          <w:sz w:val="32"/>
          <w:szCs w:val="32"/>
          <w:highlight w:val="none"/>
          <w:lang w:val="en-US" w:eastAsia="zh-CN" w:bidi="ar-SA"/>
        </w:rPr>
        <w:t>万元，占政府采购支出总额的</w:t>
      </w:r>
      <w:r>
        <w:rPr>
          <w:rFonts w:hint="default" w:ascii="Times New Roman" w:hAnsi="Times New Roman" w:eastAsia="仿宋_GB2312" w:cs="Times New Roman"/>
          <w:color w:val="auto"/>
          <w:sz w:val="32"/>
          <w:szCs w:val="32"/>
        </w:rPr>
        <w:t>58.53</w:t>
      </w:r>
      <w:r>
        <w:rPr>
          <w:rFonts w:hint="default" w:ascii="Times New Roman" w:hAnsi="Times New Roman" w:eastAsia="仿宋_GB2312" w:cs="Times New Roman"/>
          <w:color w:val="auto"/>
          <w:kern w:val="2"/>
          <w:sz w:val="32"/>
          <w:szCs w:val="32"/>
          <w:highlight w:val="none"/>
          <w:lang w:val="en-US" w:eastAsia="zh-CN" w:bidi="ar-SA"/>
        </w:rPr>
        <w:t>%。</w:t>
      </w:r>
    </w:p>
    <w:p w14:paraId="0EDB2651">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（三）国有资产占有使用情况</w:t>
      </w:r>
      <w:bookmarkEnd w:id="48"/>
    </w:p>
    <w:p w14:paraId="0F5FF36E">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截至2024年12月31日，</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共有车辆</w:t>
      </w:r>
      <w:r>
        <w:rPr>
          <w:rFonts w:hint="default" w:ascii="Times New Roman" w:hAnsi="Times New Roman" w:eastAsia="仿宋_GB2312" w:cs="Times New Roman"/>
          <w:sz w:val="32"/>
          <w:szCs w:val="32"/>
        </w:rPr>
        <w:t>1</w:t>
      </w:r>
      <w:r>
        <w:rPr>
          <w:rFonts w:hint="default" w:ascii="Times New Roman" w:hAnsi="Times New Roman" w:eastAsia="仿宋_GB2312" w:cs="Times New Roman"/>
          <w:color w:val="auto"/>
          <w:kern w:val="2"/>
          <w:sz w:val="32"/>
          <w:szCs w:val="32"/>
          <w:highlight w:val="none"/>
          <w:lang w:val="en-US" w:eastAsia="zh-CN" w:bidi="ar-SA"/>
        </w:rPr>
        <w:t>辆，其中：主要负责人用车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辆、机要通信用车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辆、应急保障用车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辆、其他用车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color w:val="auto"/>
          <w:kern w:val="2"/>
          <w:sz w:val="32"/>
          <w:szCs w:val="32"/>
          <w:highlight w:val="none"/>
          <w:lang w:val="en-US" w:eastAsia="zh-CN" w:bidi="ar-SA"/>
        </w:rPr>
        <w:t>辆，</w:t>
      </w:r>
      <w:r>
        <w:rPr>
          <w:rFonts w:hint="default" w:ascii="Times New Roman" w:hAnsi="Times New Roman" w:eastAsia="仿宋_GB2312" w:cs="Times New Roman"/>
          <w:color w:val="auto"/>
          <w:sz w:val="32"/>
          <w:szCs w:val="32"/>
        </w:rPr>
        <w:t>其他用车主要是用于</w:t>
      </w:r>
      <w:r>
        <w:rPr>
          <w:rFonts w:hint="default" w:ascii="Times New Roman" w:hAnsi="Times New Roman" w:eastAsia="仿宋_GB2312" w:cs="Times New Roman"/>
          <w:color w:val="auto"/>
          <w:sz w:val="32"/>
          <w:szCs w:val="32"/>
          <w:lang w:eastAsia="zh-CN"/>
        </w:rPr>
        <w:t>工伤预防到</w:t>
      </w:r>
      <w:r>
        <w:rPr>
          <w:rFonts w:hint="default" w:ascii="Times New Roman" w:hAnsi="Times New Roman" w:eastAsia="仿宋_GB2312" w:cs="Times New Roman"/>
          <w:color w:val="auto"/>
          <w:sz w:val="32"/>
          <w:szCs w:val="32"/>
        </w:rPr>
        <w:t>厂矿、企业、医疗机构开展调查取证、现场勘验和常规急救等专业技术工作等。</w:t>
      </w:r>
      <w:r>
        <w:rPr>
          <w:rFonts w:hint="default" w:ascii="Times New Roman" w:hAnsi="Times New Roman" w:eastAsia="仿宋_GB2312" w:cs="Times New Roman"/>
          <w:color w:val="auto"/>
          <w:kern w:val="2"/>
          <w:sz w:val="32"/>
          <w:szCs w:val="32"/>
          <w:highlight w:val="none"/>
          <w:lang w:val="en-US" w:eastAsia="zh-CN" w:bidi="ar-SA"/>
        </w:rPr>
        <w:t>单价100万元（含）以上设备（不含车辆）</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台（套）。</w:t>
      </w:r>
    </w:p>
    <w:p w14:paraId="78BE6A17">
      <w:pPr>
        <w:keepNext w:val="0"/>
        <w:keepLines w:val="0"/>
        <w:pageBreakBefore w:val="0"/>
        <w:widowControl w:val="0"/>
        <w:kinsoku/>
        <w:wordWrap/>
        <w:overflowPunct/>
        <w:topLinePunct w:val="0"/>
        <w:autoSpaceDE/>
        <w:autoSpaceDN/>
        <w:bidi w:val="0"/>
        <w:spacing w:line="600" w:lineRule="exact"/>
        <w:ind w:firstLine="640" w:firstLineChars="200"/>
        <w:textAlignment w:val="auto"/>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（四）预算绩效管理情况</w:t>
      </w:r>
    </w:p>
    <w:p w14:paraId="13E7CAAD">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根据预算绩效管理要求，</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在2024年度预算编制阶段，组织对“入驻政务中心单位租金、物业费及水电费”项目开展了预算事前绩效评估，对1个项目编制了绩效目标</w:t>
      </w:r>
      <w:r>
        <w:rPr>
          <w:rFonts w:hint="eastAsia"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预算执行过程中，追加“社保公共服务能力建设资金”项目，选取2个项目开展绩效监控。</w:t>
      </w:r>
    </w:p>
    <w:p w14:paraId="42776B41">
      <w:pPr>
        <w:keepNext w:val="0"/>
        <w:keepLines w:val="0"/>
        <w:pageBreakBefore w:val="0"/>
        <w:widowControl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部门整体绩效自评报告、“入驻政务中心单位租金、物业费及水电费”等专项预算项目绩效自评报告，其中，</w:t>
      </w:r>
      <w:r>
        <w:rPr>
          <w:rFonts w:hint="default" w:ascii="Times New Roman" w:hAnsi="Times New Roman" w:eastAsia="仿宋_GB2312" w:cs="Times New Roman"/>
          <w:sz w:val="32"/>
          <w:szCs w:val="32"/>
        </w:rPr>
        <w:t>四川省攀枝花市社会保险事务中心</w:t>
      </w:r>
      <w:r>
        <w:rPr>
          <w:rFonts w:hint="default" w:ascii="Times New Roman" w:hAnsi="Times New Roman" w:eastAsia="仿宋_GB2312" w:cs="Times New Roman"/>
          <w:color w:val="auto"/>
          <w:kern w:val="2"/>
          <w:sz w:val="32"/>
          <w:szCs w:val="32"/>
          <w:highlight w:val="none"/>
          <w:lang w:val="en-US" w:eastAsia="zh-CN" w:bidi="ar-SA"/>
        </w:rPr>
        <w:t>部门整体绩效自评得分为99.77分，绩效自评综述：</w:t>
      </w:r>
      <w:r>
        <w:rPr>
          <w:rFonts w:hint="default" w:ascii="Times New Roman" w:hAnsi="Times New Roman" w:eastAsia="仿宋_GB2312" w:cs="Times New Roman"/>
          <w:sz w:val="32"/>
          <w:szCs w:val="32"/>
        </w:rPr>
        <w:t>四川省攀枝花市社会保险事务中心着力推进社保改革任务落地落实、公共服务提质增效、运行管理提档升级、严防风险确保基金安全，推动全市社保经办事业高质量、可持续发展。扎实开展社保经办工作，不断提升人民群众获得感、幸</w:t>
      </w:r>
      <w:r>
        <w:rPr>
          <w:rFonts w:hint="default" w:ascii="Times New Roman" w:hAnsi="Times New Roman" w:eastAsia="仿宋_GB2312" w:cs="Times New Roman"/>
          <w:color w:val="auto"/>
          <w:kern w:val="2"/>
          <w:sz w:val="32"/>
          <w:szCs w:val="32"/>
          <w:highlight w:val="none"/>
          <w:lang w:val="en-US" w:eastAsia="zh-CN" w:bidi="ar-SA"/>
        </w:rPr>
        <w:t>福感和安全感，各项工作成效显著。继续确保各项社会保险待遇的按时足额发放和支付，维护参保人员合法权益，调整增加各类退休人员基本养老金，积极完善工伤保险信息系统功能，做好工伤保险预防工作，全面完成年初预算绩效目标及省级下达的目标任务。“入驻政务中心单位租金、物业费及水电费”专项预算项目绩效自评得分为100分，绩效自评综述：保障了单位正常运转，能更</w:t>
      </w:r>
      <w:r>
        <w:rPr>
          <w:rFonts w:hint="eastAsia" w:ascii="Times New Roman" w:hAnsi="Times New Roman" w:eastAsia="仿宋_GB2312" w:cs="Times New Roman"/>
          <w:color w:val="auto"/>
          <w:kern w:val="2"/>
          <w:sz w:val="32"/>
          <w:szCs w:val="32"/>
          <w:highlight w:val="none"/>
          <w:lang w:val="en-US" w:eastAsia="zh-CN" w:bidi="ar-SA"/>
        </w:rPr>
        <w:t>好</w:t>
      </w:r>
      <w:r>
        <w:rPr>
          <w:rFonts w:hint="default" w:ascii="Times New Roman" w:hAnsi="Times New Roman" w:eastAsia="仿宋_GB2312" w:cs="Times New Roman"/>
          <w:color w:val="auto"/>
          <w:kern w:val="2"/>
          <w:sz w:val="32"/>
          <w:szCs w:val="32"/>
          <w:highlight w:val="none"/>
          <w:lang w:val="en-US" w:eastAsia="zh-CN" w:bidi="ar-SA"/>
        </w:rPr>
        <w:t>的为参保人员提供社保服务。绩效自评报告详见附件。</w:t>
      </w:r>
    </w:p>
    <w:p w14:paraId="40544540">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p>
    <w:p w14:paraId="4B4F11E7">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p>
    <w:p w14:paraId="3D1ACA36">
      <w:pPr>
        <w:keepNext w:val="0"/>
        <w:keepLines w:val="0"/>
        <w:pageBreakBefore w:val="0"/>
        <w:widowControl w:val="0"/>
        <w:kinsoku/>
        <w:wordWrap/>
        <w:overflowPunct/>
        <w:topLinePunct w:val="0"/>
        <w:autoSpaceDE/>
        <w:autoSpaceDN/>
        <w:bidi w:val="0"/>
        <w:spacing w:line="600" w:lineRule="exact"/>
        <w:ind w:firstLine="640"/>
        <w:textAlignment w:val="auto"/>
        <w:rPr>
          <w:rFonts w:hint="default" w:ascii="Times New Roman" w:hAnsi="Times New Roman" w:eastAsia="仿宋_GB2312" w:cs="Times New Roman"/>
          <w:color w:val="auto"/>
          <w:kern w:val="2"/>
          <w:sz w:val="32"/>
          <w:szCs w:val="32"/>
          <w:highlight w:val="none"/>
          <w:lang w:val="en-US" w:eastAsia="zh-CN" w:bidi="ar-SA"/>
        </w:rPr>
      </w:pPr>
    </w:p>
    <w:p w14:paraId="099033EB">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68548B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5DDB9890">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25429F3">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66F5A33B">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0EB2FA6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0F4FB253">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2D85FD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3C289065">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4C9AF6F4">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635F9F6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8CC2B92">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5692CC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01A9C1D">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4FCC333">
      <w:pPr>
        <w:numPr>
          <w:ilvl w:val="0"/>
          <w:numId w:val="0"/>
        </w:numPr>
        <w:spacing w:line="600" w:lineRule="exact"/>
        <w:jc w:val="center"/>
        <w:outlineLvl w:val="0"/>
        <w:rPr>
          <w:rFonts w:hint="eastAsia" w:ascii="方正小标宋_GBK" w:hAnsi="方正小标宋_GBK" w:eastAsia="方正小标宋_GBK" w:cs="方正小标宋_GBK"/>
          <w:color w:val="auto"/>
          <w:sz w:val="44"/>
          <w:szCs w:val="44"/>
          <w:highlight w:val="none"/>
        </w:rPr>
      </w:pPr>
      <w:bookmarkStart w:id="49" w:name="_Toc15377225"/>
      <w:bookmarkStart w:id="50" w:name="_Toc15396613"/>
      <w:r>
        <w:rPr>
          <w:rFonts w:hint="eastAsia" w:ascii="方正小标宋_GBK" w:hAnsi="方正小标宋_GBK" w:eastAsia="方正小标宋_GBK" w:cs="方正小标宋_GBK"/>
          <w:color w:val="auto"/>
          <w:sz w:val="44"/>
          <w:szCs w:val="44"/>
          <w:highlight w:val="none"/>
        </w:rPr>
        <w:t>第</w:t>
      </w:r>
      <w:r>
        <w:rPr>
          <w:rFonts w:hint="eastAsia" w:ascii="方正小标宋_GBK" w:hAnsi="方正小标宋_GBK" w:eastAsia="方正小标宋_GBK" w:cs="方正小标宋_GBK"/>
          <w:color w:val="auto"/>
          <w:sz w:val="44"/>
          <w:szCs w:val="44"/>
          <w:highlight w:val="none"/>
          <w:lang w:eastAsia="zh-CN"/>
        </w:rPr>
        <w:t>三</w:t>
      </w:r>
      <w:r>
        <w:rPr>
          <w:rFonts w:hint="eastAsia" w:ascii="方正小标宋_GBK" w:hAnsi="方正小标宋_GBK" w:eastAsia="方正小标宋_GBK" w:cs="方正小标宋_GBK"/>
          <w:color w:val="auto"/>
          <w:sz w:val="44"/>
          <w:szCs w:val="44"/>
          <w:highlight w:val="none"/>
        </w:rPr>
        <w:t>部分</w:t>
      </w:r>
      <w:r>
        <w:rPr>
          <w:rFonts w:hint="eastAsia" w:ascii="方正小标宋_GBK" w:hAnsi="方正小标宋_GBK" w:eastAsia="方正小标宋_GBK" w:cs="方正小标宋_GBK"/>
          <w:color w:val="auto"/>
          <w:sz w:val="44"/>
          <w:szCs w:val="44"/>
          <w:highlight w:val="none"/>
          <w:lang w:val="en-US" w:eastAsia="zh-CN"/>
        </w:rPr>
        <w:t xml:space="preserve">  </w:t>
      </w:r>
      <w:r>
        <w:rPr>
          <w:rFonts w:hint="eastAsia" w:ascii="方正小标宋_GBK" w:hAnsi="方正小标宋_GBK" w:eastAsia="方正小标宋_GBK" w:cs="方正小标宋_GBK"/>
          <w:color w:val="auto"/>
          <w:sz w:val="44"/>
          <w:szCs w:val="44"/>
          <w:highlight w:val="none"/>
        </w:rPr>
        <w:t>名词解释</w:t>
      </w:r>
      <w:bookmarkEnd w:id="49"/>
      <w:bookmarkEnd w:id="50"/>
    </w:p>
    <w:p w14:paraId="2735217F">
      <w:pPr>
        <w:spacing w:line="600" w:lineRule="exact"/>
        <w:jc w:val="left"/>
        <w:rPr>
          <w:rFonts w:hint="default" w:ascii="Times New Roman" w:hAnsi="Times New Roman" w:cs="Times New Roman"/>
          <w:b/>
          <w:color w:val="auto"/>
          <w:sz w:val="44"/>
          <w:szCs w:val="44"/>
          <w:highlight w:val="none"/>
        </w:rPr>
      </w:pPr>
    </w:p>
    <w:p w14:paraId="0C05FAA7">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14:paraId="60931F37">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14:paraId="2D929865">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3.经营收入：指事业单位在专业业务活动及其辅助活动之外开展非独立核算经营活动取得的收入。</w:t>
      </w:r>
    </w:p>
    <w:p w14:paraId="74FAE35B">
      <w:pPr>
        <w:pStyle w:val="29"/>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4.其他收入：指单位取得的除上述收入以外的各项收入。主要是自有资金账户利息收入（收入类型）等。 </w:t>
      </w:r>
    </w:p>
    <w:p w14:paraId="14089D05">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5.使用非财政拨款结余：指事业单位使用以前年度积累的非财政拨款结余弥补当年收支差额的金额。 </w:t>
      </w:r>
    </w:p>
    <w:p w14:paraId="51EB6221">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6.年初结转和结余：指以前年度尚未完成、结转到本年按有关规定继续使用的资金。 </w:t>
      </w:r>
    </w:p>
    <w:p w14:paraId="4B3FB05A">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48BAE2DE">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年末结转和结余：指单位按有关规定结转到下年或以后年度继续使用的资金。</w:t>
      </w:r>
    </w:p>
    <w:p w14:paraId="3B889096">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9.社会保障和就业支出（类）人力资源和社会保障管理事务（款）行政运行（项）：指行政单位的基本支出。</w:t>
      </w:r>
    </w:p>
    <w:p w14:paraId="74136322">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10.住房保障支出（类）住房改革支出（款）住房公积金（项）：指行政事业单位按人力资源和社会保障部、财政部规定的基本工资和津贴补贴以及规定比例为职工缴纳的住房公积金。</w:t>
      </w:r>
    </w:p>
    <w:p w14:paraId="7C18D82E">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11.社会保障和就业（类）人力资源和社会保障管理事务（款）社会保险经办机构（项）：指社会保险经办机构开展业务工作的支出。</w:t>
      </w:r>
    </w:p>
    <w:p w14:paraId="3601EAE9">
      <w:pPr>
        <w:spacing w:line="60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.社会保障和就业支出（类）行政事业单位</w:t>
      </w:r>
      <w:r>
        <w:rPr>
          <w:rFonts w:hint="default" w:ascii="Times New Roman" w:hAnsi="Times New Roman" w:eastAsia="仿宋_GB2312" w:cs="Times New Roman"/>
          <w:color w:val="auto"/>
          <w:sz w:val="32"/>
          <w:szCs w:val="32"/>
          <w:lang w:eastAsia="zh-CN"/>
        </w:rPr>
        <w:t>养老支出</w:t>
      </w:r>
      <w:r>
        <w:rPr>
          <w:rFonts w:hint="default" w:ascii="Times New Roman" w:hAnsi="Times New Roman" w:eastAsia="仿宋_GB2312" w:cs="Times New Roman"/>
          <w:color w:val="auto"/>
          <w:sz w:val="32"/>
          <w:szCs w:val="32"/>
        </w:rPr>
        <w:t>（款）行政单位离退休（项）：指行政单位</w:t>
      </w:r>
      <w:r>
        <w:rPr>
          <w:rFonts w:hint="default" w:ascii="Times New Roman" w:hAnsi="Times New Roman" w:eastAsia="仿宋_GB2312" w:cs="Times New Roman"/>
          <w:color w:val="auto"/>
          <w:sz w:val="32"/>
          <w:szCs w:val="32"/>
          <w:lang w:eastAsia="zh-CN"/>
        </w:rPr>
        <w:t>（包括实行公务员管理的事业单位）</w:t>
      </w:r>
      <w:r>
        <w:rPr>
          <w:rFonts w:hint="default" w:ascii="Times New Roman" w:hAnsi="Times New Roman" w:eastAsia="仿宋_GB2312" w:cs="Times New Roman"/>
          <w:color w:val="auto"/>
          <w:sz w:val="32"/>
          <w:szCs w:val="32"/>
        </w:rPr>
        <w:t>开支的离退休</w:t>
      </w:r>
      <w:r>
        <w:rPr>
          <w:rFonts w:hint="default" w:ascii="Times New Roman" w:hAnsi="Times New Roman" w:eastAsia="仿宋_GB2312" w:cs="Times New Roman"/>
          <w:color w:val="auto"/>
          <w:sz w:val="32"/>
          <w:szCs w:val="32"/>
          <w:lang w:eastAsia="zh-CN"/>
        </w:rPr>
        <w:t>经费</w:t>
      </w:r>
      <w:r>
        <w:rPr>
          <w:rFonts w:hint="default" w:ascii="Times New Roman" w:hAnsi="Times New Roman" w:eastAsia="仿宋_GB2312" w:cs="Times New Roman"/>
          <w:color w:val="auto"/>
          <w:sz w:val="32"/>
          <w:szCs w:val="32"/>
        </w:rPr>
        <w:t>。</w:t>
      </w:r>
    </w:p>
    <w:p w14:paraId="46BBAFD6">
      <w:pPr>
        <w:pageBreakBefore w:val="0"/>
        <w:kinsoku/>
        <w:wordWrap/>
        <w:overflowPunct/>
        <w:topLinePunct w:val="0"/>
        <w:bidi w:val="0"/>
        <w:spacing w:line="56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.社会保障和就业支出（类）行政事业单位</w:t>
      </w:r>
      <w:r>
        <w:rPr>
          <w:rFonts w:hint="default" w:ascii="Times New Roman" w:hAnsi="Times New Roman" w:eastAsia="仿宋_GB2312" w:cs="Times New Roman"/>
          <w:color w:val="auto"/>
          <w:sz w:val="32"/>
          <w:szCs w:val="32"/>
          <w:lang w:eastAsia="zh-CN"/>
        </w:rPr>
        <w:t>养老支出</w:t>
      </w:r>
      <w:r>
        <w:rPr>
          <w:rFonts w:hint="default" w:ascii="Times New Roman" w:hAnsi="Times New Roman" w:eastAsia="仿宋_GB2312" w:cs="Times New Roman"/>
          <w:color w:val="auto"/>
          <w:sz w:val="32"/>
          <w:szCs w:val="32"/>
        </w:rPr>
        <w:t>（款）机关事业单位基本养老保险缴费支出（项）：指机关事业单位实施养老保险制度由单位缴纳的基本养老保险费支出。</w:t>
      </w:r>
    </w:p>
    <w:p w14:paraId="233CCC1C">
      <w:pPr>
        <w:pageBreakBefore w:val="0"/>
        <w:kinsoku/>
        <w:wordWrap/>
        <w:overflowPunct/>
        <w:topLinePunct w:val="0"/>
        <w:bidi w:val="0"/>
        <w:spacing w:line="56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rPr>
        <w:t>社会保障和就业支出（类）行政事业单位</w:t>
      </w:r>
      <w:r>
        <w:rPr>
          <w:rFonts w:hint="default" w:ascii="Times New Roman" w:hAnsi="Times New Roman" w:eastAsia="仿宋_GB2312" w:cs="Times New Roman"/>
          <w:color w:val="auto"/>
          <w:sz w:val="32"/>
          <w:szCs w:val="32"/>
          <w:lang w:eastAsia="zh-CN"/>
        </w:rPr>
        <w:t>养老支出</w:t>
      </w:r>
      <w:r>
        <w:rPr>
          <w:rFonts w:hint="default" w:ascii="Times New Roman" w:hAnsi="Times New Roman" w:eastAsia="仿宋_GB2312" w:cs="Times New Roman"/>
          <w:color w:val="auto"/>
          <w:sz w:val="32"/>
          <w:szCs w:val="32"/>
        </w:rPr>
        <w:t>（款）机关事业单位</w:t>
      </w:r>
      <w:r>
        <w:rPr>
          <w:rFonts w:hint="default" w:ascii="Times New Roman" w:hAnsi="Times New Roman" w:eastAsia="仿宋_GB2312" w:cs="Times New Roman"/>
          <w:color w:val="auto"/>
          <w:sz w:val="32"/>
          <w:szCs w:val="32"/>
          <w:lang w:eastAsia="zh-CN"/>
        </w:rPr>
        <w:t>职业年金缴费</w:t>
      </w:r>
      <w:r>
        <w:rPr>
          <w:rFonts w:hint="default" w:ascii="Times New Roman" w:hAnsi="Times New Roman" w:eastAsia="仿宋_GB2312" w:cs="Times New Roman"/>
          <w:color w:val="auto"/>
          <w:sz w:val="32"/>
          <w:szCs w:val="32"/>
        </w:rPr>
        <w:t>支出（项）：指机关事业单位实施养老保险制度由单位</w:t>
      </w:r>
      <w:r>
        <w:rPr>
          <w:rFonts w:hint="default" w:ascii="Times New Roman" w:hAnsi="Times New Roman" w:eastAsia="仿宋_GB2312" w:cs="Times New Roman"/>
          <w:color w:val="auto"/>
          <w:sz w:val="32"/>
          <w:szCs w:val="32"/>
          <w:lang w:eastAsia="zh-CN"/>
        </w:rPr>
        <w:t>实际</w:t>
      </w:r>
      <w:r>
        <w:rPr>
          <w:rFonts w:hint="default" w:ascii="Times New Roman" w:hAnsi="Times New Roman" w:eastAsia="仿宋_GB2312" w:cs="Times New Roman"/>
          <w:color w:val="auto"/>
          <w:sz w:val="32"/>
          <w:szCs w:val="32"/>
        </w:rPr>
        <w:t>缴纳的</w:t>
      </w:r>
      <w:r>
        <w:rPr>
          <w:rFonts w:hint="default" w:ascii="Times New Roman" w:hAnsi="Times New Roman" w:eastAsia="仿宋_GB2312" w:cs="Times New Roman"/>
          <w:color w:val="auto"/>
          <w:sz w:val="32"/>
          <w:szCs w:val="32"/>
          <w:lang w:eastAsia="zh-CN"/>
        </w:rPr>
        <w:t>职业年金</w:t>
      </w:r>
      <w:r>
        <w:rPr>
          <w:rFonts w:hint="default" w:ascii="Times New Roman" w:hAnsi="Times New Roman" w:eastAsia="仿宋_GB2312" w:cs="Times New Roman"/>
          <w:color w:val="auto"/>
          <w:sz w:val="32"/>
          <w:szCs w:val="32"/>
        </w:rPr>
        <w:t>支出。</w:t>
      </w:r>
    </w:p>
    <w:p w14:paraId="38ED9FC0">
      <w:pPr>
        <w:pageBreakBefore w:val="0"/>
        <w:kinsoku/>
        <w:wordWrap/>
        <w:overflowPunct/>
        <w:topLinePunct w:val="0"/>
        <w:bidi w:val="0"/>
        <w:spacing w:line="560" w:lineRule="exact"/>
        <w:ind w:firstLine="64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.社会保障和就业（类）人力资源和社会保障管理事务（款）</w:t>
      </w:r>
      <w:r>
        <w:rPr>
          <w:rFonts w:hint="default" w:ascii="Times New Roman" w:hAnsi="Times New Roman" w:eastAsia="仿宋_GB2312" w:cs="Times New Roman"/>
          <w:color w:val="auto"/>
          <w:sz w:val="32"/>
          <w:szCs w:val="32"/>
          <w:lang w:eastAsia="zh-CN"/>
        </w:rPr>
        <w:t>其他人力资源和社会保障管理事务支出</w:t>
      </w:r>
      <w:r>
        <w:rPr>
          <w:rFonts w:hint="default" w:ascii="Times New Roman" w:hAnsi="Times New Roman" w:eastAsia="仿宋_GB2312" w:cs="Times New Roman"/>
          <w:color w:val="auto"/>
          <w:sz w:val="32"/>
          <w:szCs w:val="32"/>
        </w:rPr>
        <w:t>（项）：指</w:t>
      </w:r>
      <w:r>
        <w:rPr>
          <w:rFonts w:hint="default" w:ascii="Times New Roman" w:hAnsi="Times New Roman" w:eastAsia="仿宋_GB2312" w:cs="Times New Roman"/>
          <w:color w:val="auto"/>
          <w:sz w:val="32"/>
          <w:szCs w:val="32"/>
          <w:lang w:eastAsia="zh-CN"/>
        </w:rPr>
        <w:t>其他用于人力资源和社会保障管理事务方面</w:t>
      </w:r>
      <w:r>
        <w:rPr>
          <w:rFonts w:hint="default" w:ascii="Times New Roman" w:hAnsi="Times New Roman" w:eastAsia="仿宋_GB2312" w:cs="Times New Roman"/>
          <w:color w:val="auto"/>
          <w:sz w:val="32"/>
          <w:szCs w:val="32"/>
        </w:rPr>
        <w:t>的支出。</w:t>
      </w:r>
    </w:p>
    <w:p w14:paraId="4C121C25">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16.卫生健康支出（类）行政事业单位医疗（款）行政单位医疗（项）</w:t>
      </w:r>
      <w:r>
        <w:rPr>
          <w:rFonts w:hint="default" w:ascii="Times New Roman" w:hAnsi="Times New Roman" w:eastAsia="仿宋_GB2312" w:cs="Times New Roman"/>
          <w:sz w:val="32"/>
          <w:szCs w:val="32"/>
          <w:highlight w:val="none"/>
          <w:lang w:eastAsia="zh-CN"/>
        </w:rPr>
        <w:t>指：反映财政部门安排的行政单位（包括实行公务员管理的事业单位）基本医疗保险缴费经费，未参加医疗保险的行政单位的公费医疗经费，按国家规定享受离休人员、红军老战士待遇人员的医疗经费。</w:t>
      </w:r>
    </w:p>
    <w:p w14:paraId="563EE799">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17.卫生健康支出（类）行政事业单位医疗（款）公务员医疗补助（项）</w:t>
      </w:r>
      <w:r>
        <w:rPr>
          <w:rFonts w:hint="default" w:ascii="Times New Roman" w:hAnsi="Times New Roman" w:eastAsia="仿宋_GB2312" w:cs="Times New Roman"/>
          <w:sz w:val="32"/>
          <w:szCs w:val="32"/>
          <w:highlight w:val="none"/>
          <w:lang w:eastAsia="zh-CN"/>
        </w:rPr>
        <w:t>指：反映财政部门安排的公务员医疗补助经费。</w:t>
      </w:r>
    </w:p>
    <w:p w14:paraId="52907414">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18.卫生健康支出（类）行政事业单位医疗（款）其他行政事业单位医疗支出（项）</w:t>
      </w:r>
      <w:r>
        <w:rPr>
          <w:rFonts w:hint="default" w:ascii="Times New Roman" w:hAnsi="Times New Roman" w:eastAsia="仿宋_GB2312" w:cs="Times New Roman"/>
          <w:sz w:val="32"/>
          <w:szCs w:val="32"/>
          <w:highlight w:val="none"/>
          <w:lang w:eastAsia="zh-CN"/>
        </w:rPr>
        <w:t>指：反映其他用于行政事业单位医疗方面的支出。</w:t>
      </w:r>
    </w:p>
    <w:p w14:paraId="57429F23">
      <w:pPr>
        <w:spacing w:line="578"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19.一般公共服务支出（类）组织事务（款）其他组织事务支出（项）指：其他用于中国共产党组织部门的事务支出。</w:t>
      </w:r>
    </w:p>
    <w:p w14:paraId="6DC1FEB2">
      <w:pPr>
        <w:spacing w:line="578"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color w:val="auto"/>
          <w:sz w:val="32"/>
          <w:szCs w:val="32"/>
        </w:rPr>
        <w:t>基本支出：指为保障机构正常运转、完成日常工作任务而发生的人员支出和公用支出。</w:t>
      </w:r>
    </w:p>
    <w:p w14:paraId="09E1D661">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 xml:space="preserve">.项目支出：指在基本支出之外为完成特定行政任务和事业发展目标所发生的支出。 </w:t>
      </w:r>
    </w:p>
    <w:p w14:paraId="6A54A115">
      <w:pPr>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22</w:t>
      </w:r>
      <w:r>
        <w:rPr>
          <w:rFonts w:hint="default" w:ascii="Times New Roman" w:hAnsi="Times New Roman" w:eastAsia="仿宋_GB2312" w:cs="Times New Roman"/>
          <w:color w:val="auto"/>
          <w:sz w:val="32"/>
          <w:szCs w:val="32"/>
        </w:rPr>
        <w:t>.经营支出：指事业单位在专业业务活动及其辅助活动之外开展非独立核算经营活动发生的支出。</w:t>
      </w:r>
    </w:p>
    <w:p w14:paraId="09CED3C7">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23</w:t>
      </w:r>
      <w:r>
        <w:rPr>
          <w:rFonts w:hint="default" w:ascii="Times New Roman" w:hAnsi="Times New Roman" w:eastAsia="仿宋_GB2312" w:cs="Times New Roman"/>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2B5814E">
      <w:pPr>
        <w:pStyle w:val="29"/>
        <w:pageBreakBefore w:val="0"/>
        <w:kinsoku/>
        <w:wordWrap/>
        <w:overflowPunct/>
        <w:topLinePunct w:val="0"/>
        <w:bidi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25C098E">
      <w:pPr>
        <w:spacing w:line="600" w:lineRule="exact"/>
        <w:jc w:val="center"/>
        <w:rPr>
          <w:rFonts w:hint="eastAsia" w:ascii="方正小标宋_GBK" w:hAnsi="方正小标宋_GBK" w:eastAsia="方正小标宋_GBK" w:cs="方正小标宋_GBK"/>
          <w:color w:val="auto"/>
          <w:sz w:val="44"/>
          <w:szCs w:val="44"/>
          <w:highlight w:val="none"/>
        </w:rPr>
      </w:pPr>
      <w:bookmarkStart w:id="51" w:name="_Toc15396614"/>
      <w:bookmarkStart w:id="52" w:name="_Toc15377226"/>
    </w:p>
    <w:p w14:paraId="75D1295B">
      <w:pPr>
        <w:spacing w:line="600" w:lineRule="exact"/>
        <w:jc w:val="center"/>
        <w:rPr>
          <w:rFonts w:hint="eastAsia" w:ascii="方正小标宋_GBK" w:hAnsi="方正小标宋_GBK" w:eastAsia="方正小标宋_GBK" w:cs="方正小标宋_GBK"/>
          <w:color w:val="auto"/>
          <w:sz w:val="44"/>
          <w:szCs w:val="44"/>
          <w:highlight w:val="none"/>
        </w:rPr>
      </w:pPr>
    </w:p>
    <w:p w14:paraId="6C9DF0D2">
      <w:pPr>
        <w:spacing w:line="600" w:lineRule="exact"/>
        <w:jc w:val="center"/>
        <w:rPr>
          <w:rFonts w:hint="eastAsia" w:ascii="方正小标宋_GBK" w:hAnsi="方正小标宋_GBK" w:eastAsia="方正小标宋_GBK" w:cs="方正小标宋_GBK"/>
          <w:color w:val="auto"/>
          <w:sz w:val="44"/>
          <w:szCs w:val="44"/>
          <w:highlight w:val="none"/>
        </w:rPr>
      </w:pPr>
    </w:p>
    <w:p w14:paraId="1638A56C">
      <w:pPr>
        <w:spacing w:line="600" w:lineRule="exact"/>
        <w:jc w:val="center"/>
        <w:rPr>
          <w:rFonts w:hint="eastAsia" w:ascii="方正小标宋_GBK" w:hAnsi="方正小标宋_GBK" w:eastAsia="方正小标宋_GBK" w:cs="方正小标宋_GBK"/>
          <w:color w:val="auto"/>
          <w:sz w:val="44"/>
          <w:szCs w:val="44"/>
          <w:highlight w:val="none"/>
        </w:rPr>
      </w:pPr>
    </w:p>
    <w:p w14:paraId="16931DA8">
      <w:pPr>
        <w:spacing w:line="600" w:lineRule="exact"/>
        <w:jc w:val="center"/>
        <w:rPr>
          <w:rFonts w:hint="eastAsia" w:ascii="方正小标宋_GBK" w:hAnsi="方正小标宋_GBK" w:eastAsia="方正小标宋_GBK" w:cs="方正小标宋_GBK"/>
          <w:color w:val="auto"/>
          <w:sz w:val="44"/>
          <w:szCs w:val="44"/>
          <w:highlight w:val="none"/>
        </w:rPr>
      </w:pPr>
    </w:p>
    <w:p w14:paraId="2D2FAFE1">
      <w:pPr>
        <w:spacing w:line="600" w:lineRule="exact"/>
        <w:jc w:val="center"/>
        <w:rPr>
          <w:rFonts w:hint="eastAsia" w:ascii="方正小标宋_GBK" w:hAnsi="方正小标宋_GBK" w:eastAsia="方正小标宋_GBK" w:cs="方正小标宋_GBK"/>
          <w:color w:val="auto"/>
          <w:sz w:val="44"/>
          <w:szCs w:val="44"/>
          <w:highlight w:val="none"/>
        </w:rPr>
      </w:pPr>
    </w:p>
    <w:p w14:paraId="5A5B98C3">
      <w:pPr>
        <w:spacing w:line="600" w:lineRule="exact"/>
        <w:jc w:val="center"/>
        <w:rPr>
          <w:rFonts w:hint="eastAsia" w:ascii="方正小标宋_GBK" w:hAnsi="方正小标宋_GBK" w:eastAsia="方正小标宋_GBK" w:cs="方正小标宋_GBK"/>
          <w:color w:val="auto"/>
          <w:sz w:val="44"/>
          <w:szCs w:val="44"/>
          <w:highlight w:val="none"/>
        </w:rPr>
      </w:pPr>
    </w:p>
    <w:p w14:paraId="01441E90">
      <w:pPr>
        <w:spacing w:line="600" w:lineRule="exact"/>
        <w:jc w:val="center"/>
        <w:rPr>
          <w:rFonts w:hint="eastAsia" w:ascii="方正小标宋_GBK" w:hAnsi="方正小标宋_GBK" w:eastAsia="方正小标宋_GBK" w:cs="方正小标宋_GBK"/>
          <w:color w:val="auto"/>
          <w:sz w:val="44"/>
          <w:szCs w:val="44"/>
          <w:highlight w:val="none"/>
        </w:rPr>
      </w:pPr>
    </w:p>
    <w:p w14:paraId="6CEF27E0">
      <w:pPr>
        <w:spacing w:line="600" w:lineRule="exact"/>
        <w:jc w:val="center"/>
        <w:rPr>
          <w:rFonts w:hint="eastAsia" w:ascii="方正小标宋_GBK" w:hAnsi="方正小标宋_GBK" w:eastAsia="方正小标宋_GBK" w:cs="方正小标宋_GBK"/>
          <w:color w:val="auto"/>
          <w:sz w:val="44"/>
          <w:szCs w:val="44"/>
          <w:highlight w:val="none"/>
        </w:rPr>
      </w:pPr>
    </w:p>
    <w:p w14:paraId="231E7B23">
      <w:pPr>
        <w:spacing w:line="600" w:lineRule="exact"/>
        <w:jc w:val="center"/>
        <w:rPr>
          <w:rFonts w:hint="eastAsia" w:ascii="方正小标宋_GBK" w:hAnsi="方正小标宋_GBK" w:eastAsia="方正小标宋_GBK" w:cs="方正小标宋_GBK"/>
          <w:color w:val="auto"/>
          <w:sz w:val="44"/>
          <w:szCs w:val="44"/>
          <w:highlight w:val="none"/>
        </w:rPr>
      </w:pPr>
    </w:p>
    <w:p w14:paraId="09685B8F">
      <w:pPr>
        <w:spacing w:line="600" w:lineRule="exact"/>
        <w:jc w:val="center"/>
        <w:rPr>
          <w:rFonts w:hint="eastAsia" w:ascii="方正小标宋_GBK" w:hAnsi="方正小标宋_GBK" w:eastAsia="方正小标宋_GBK" w:cs="方正小标宋_GBK"/>
          <w:color w:val="auto"/>
          <w:sz w:val="44"/>
          <w:szCs w:val="44"/>
          <w:highlight w:val="none"/>
        </w:rPr>
      </w:pPr>
    </w:p>
    <w:p w14:paraId="7D5E9FC6">
      <w:pPr>
        <w:spacing w:line="600" w:lineRule="exact"/>
        <w:jc w:val="center"/>
        <w:rPr>
          <w:rFonts w:hint="eastAsia" w:ascii="方正小标宋_GBK" w:hAnsi="方正小标宋_GBK" w:eastAsia="方正小标宋_GBK" w:cs="方正小标宋_GBK"/>
          <w:color w:val="auto"/>
          <w:sz w:val="44"/>
          <w:szCs w:val="44"/>
          <w:highlight w:val="none"/>
        </w:rPr>
      </w:pPr>
    </w:p>
    <w:p w14:paraId="7E7B70A1">
      <w:pPr>
        <w:spacing w:line="600" w:lineRule="exact"/>
        <w:jc w:val="center"/>
        <w:rPr>
          <w:rFonts w:hint="eastAsia" w:ascii="方正小标宋_GBK" w:hAnsi="方正小标宋_GBK" w:eastAsia="方正小标宋_GBK" w:cs="方正小标宋_GBK"/>
          <w:color w:val="auto"/>
          <w:sz w:val="44"/>
          <w:szCs w:val="44"/>
          <w:highlight w:val="none"/>
        </w:rPr>
      </w:pPr>
    </w:p>
    <w:p w14:paraId="4690314B">
      <w:pPr>
        <w:spacing w:line="600" w:lineRule="exact"/>
        <w:jc w:val="center"/>
        <w:rPr>
          <w:rFonts w:hint="eastAsia" w:ascii="方正小标宋_GBK" w:hAnsi="方正小标宋_GBK" w:eastAsia="方正小标宋_GBK" w:cs="方正小标宋_GBK"/>
          <w:color w:val="auto"/>
          <w:sz w:val="44"/>
          <w:szCs w:val="44"/>
          <w:highlight w:val="none"/>
        </w:rPr>
      </w:pPr>
    </w:p>
    <w:p w14:paraId="7ED0E029">
      <w:pPr>
        <w:spacing w:line="600" w:lineRule="exact"/>
        <w:jc w:val="center"/>
        <w:rPr>
          <w:rFonts w:hint="eastAsia" w:ascii="方正小标宋_GBK" w:hAnsi="方正小标宋_GBK" w:eastAsia="方正小标宋_GBK" w:cs="方正小标宋_GBK"/>
          <w:color w:val="auto"/>
          <w:sz w:val="44"/>
          <w:szCs w:val="44"/>
          <w:highlight w:val="none"/>
        </w:rPr>
      </w:pPr>
    </w:p>
    <w:p w14:paraId="068F2E24">
      <w:pPr>
        <w:spacing w:line="600" w:lineRule="exact"/>
        <w:jc w:val="center"/>
        <w:rPr>
          <w:rFonts w:hint="eastAsia" w:ascii="方正小标宋_GBK" w:hAnsi="方正小标宋_GBK" w:eastAsia="方正小标宋_GBK" w:cs="方正小标宋_GBK"/>
          <w:color w:val="auto"/>
          <w:sz w:val="44"/>
          <w:szCs w:val="44"/>
          <w:highlight w:val="none"/>
        </w:rPr>
      </w:pPr>
    </w:p>
    <w:p w14:paraId="36B2C15F">
      <w:pPr>
        <w:spacing w:line="600" w:lineRule="exact"/>
        <w:jc w:val="center"/>
        <w:rPr>
          <w:rFonts w:hint="eastAsia" w:ascii="方正小标宋_GBK" w:hAnsi="方正小标宋_GBK" w:eastAsia="方正小标宋_GBK" w:cs="方正小标宋_GBK"/>
          <w:color w:val="auto"/>
          <w:sz w:val="44"/>
          <w:szCs w:val="44"/>
          <w:highlight w:val="none"/>
        </w:rPr>
      </w:pPr>
    </w:p>
    <w:p w14:paraId="6B0F49AA">
      <w:pPr>
        <w:spacing w:line="600" w:lineRule="exact"/>
        <w:jc w:val="center"/>
        <w:rPr>
          <w:rFonts w:hint="eastAsia" w:ascii="方正小标宋_GBK" w:hAnsi="方正小标宋_GBK" w:eastAsia="方正小标宋_GBK" w:cs="方正小标宋_GBK"/>
          <w:color w:val="auto"/>
          <w:sz w:val="44"/>
          <w:szCs w:val="44"/>
          <w:highlight w:val="none"/>
        </w:rPr>
      </w:pPr>
    </w:p>
    <w:p w14:paraId="199B1DFA">
      <w:pPr>
        <w:spacing w:line="600" w:lineRule="exact"/>
        <w:jc w:val="center"/>
        <w:rPr>
          <w:rFonts w:hint="eastAsia" w:ascii="方正小标宋_GBK" w:hAnsi="方正小标宋_GBK" w:eastAsia="方正小标宋_GBK" w:cs="方正小标宋_GBK"/>
          <w:color w:val="auto"/>
          <w:sz w:val="44"/>
          <w:szCs w:val="44"/>
          <w:highlight w:val="none"/>
        </w:rPr>
      </w:pPr>
    </w:p>
    <w:p w14:paraId="4F01D281">
      <w:pPr>
        <w:spacing w:line="600" w:lineRule="exact"/>
        <w:jc w:val="center"/>
        <w:rPr>
          <w:rFonts w:hint="eastAsia" w:ascii="方正小标宋_GBK" w:hAnsi="方正小标宋_GBK" w:eastAsia="方正小标宋_GBK" w:cs="方正小标宋_GBK"/>
          <w:color w:val="auto"/>
          <w:sz w:val="44"/>
          <w:szCs w:val="44"/>
          <w:highlight w:val="none"/>
        </w:rPr>
      </w:pPr>
    </w:p>
    <w:p w14:paraId="7AD8B4F7">
      <w:pPr>
        <w:spacing w:line="600" w:lineRule="exact"/>
        <w:jc w:val="center"/>
        <w:rPr>
          <w:rStyle w:val="31"/>
          <w:rFonts w:hint="eastAsia" w:ascii="方正小标宋_GBK" w:hAnsi="方正小标宋_GBK" w:eastAsia="方正小标宋_GBK" w:cs="方正小标宋_GBK"/>
          <w:b w:val="0"/>
          <w:color w:val="auto"/>
          <w:highlight w:val="none"/>
          <w:lang w:eastAsia="zh-CN"/>
        </w:rPr>
      </w:pPr>
      <w:r>
        <w:rPr>
          <w:rFonts w:hint="eastAsia" w:ascii="方正小标宋_GBK" w:hAnsi="方正小标宋_GBK" w:eastAsia="方正小标宋_GBK" w:cs="方正小标宋_GBK"/>
          <w:color w:val="auto"/>
          <w:sz w:val="44"/>
          <w:szCs w:val="44"/>
          <w:highlight w:val="none"/>
        </w:rPr>
        <w:t>第四部分</w:t>
      </w:r>
      <w:r>
        <w:rPr>
          <w:rFonts w:hint="eastAsia" w:ascii="方正小标宋_GBK" w:hAnsi="方正小标宋_GBK" w:eastAsia="方正小标宋_GBK" w:cs="方正小标宋_GBK"/>
          <w:color w:val="auto"/>
          <w:sz w:val="44"/>
          <w:szCs w:val="44"/>
          <w:highlight w:val="none"/>
          <w:lang w:val="en-US" w:eastAsia="zh-CN"/>
        </w:rPr>
        <w:t xml:space="preserve"> </w:t>
      </w:r>
      <w:r>
        <w:rPr>
          <w:rFonts w:hint="eastAsia" w:ascii="方正小标宋_GBK" w:hAnsi="方正小标宋_GBK" w:eastAsia="方正小标宋_GBK" w:cs="方正小标宋_GBK"/>
          <w:color w:val="auto"/>
          <w:sz w:val="44"/>
          <w:szCs w:val="44"/>
          <w:highlight w:val="none"/>
        </w:rPr>
        <w:t xml:space="preserve"> 附件</w:t>
      </w:r>
      <w:bookmarkEnd w:id="51"/>
    </w:p>
    <w:p w14:paraId="2054A3A1">
      <w:pPr>
        <w:keepNext w:val="0"/>
        <w:keepLines w:val="0"/>
        <w:pageBreakBefore w:val="0"/>
        <w:kinsoku/>
        <w:wordWrap/>
        <w:overflowPunct/>
        <w:topLinePunct w:val="0"/>
        <w:autoSpaceDE/>
        <w:autoSpaceDN/>
        <w:bidi w:val="0"/>
        <w:spacing w:line="572" w:lineRule="exact"/>
        <w:jc w:val="left"/>
        <w:textAlignment w:val="auto"/>
        <w:outlineLvl w:val="0"/>
        <w:rPr>
          <w:rFonts w:hint="default" w:ascii="Times New Roman" w:hAnsi="Times New Roman" w:eastAsia="黑体" w:cs="Times New Roman"/>
          <w:color w:val="FF0000"/>
          <w:sz w:val="32"/>
          <w:szCs w:val="32"/>
          <w:highlight w:val="none"/>
        </w:rPr>
      </w:pPr>
    </w:p>
    <w:p w14:paraId="7AB7BE6C">
      <w:pPr>
        <w:keepNext w:val="0"/>
        <w:keepLines w:val="0"/>
        <w:pageBreakBefore w:val="0"/>
        <w:kinsoku/>
        <w:wordWrap/>
        <w:overflowPunct/>
        <w:topLinePunct w:val="0"/>
        <w:autoSpaceDE/>
        <w:autoSpaceDN/>
        <w:bidi w:val="0"/>
        <w:spacing w:line="600" w:lineRule="exact"/>
        <w:jc w:val="left"/>
        <w:textAlignment w:val="auto"/>
        <w:outlineLvl w:val="0"/>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rPr>
        <w:t>附件</w:t>
      </w:r>
      <w:r>
        <w:rPr>
          <w:rFonts w:hint="default" w:ascii="Times New Roman" w:hAnsi="Times New Roman" w:eastAsia="黑体" w:cs="Times New Roman"/>
          <w:color w:val="auto"/>
          <w:sz w:val="32"/>
          <w:szCs w:val="32"/>
          <w:highlight w:val="none"/>
          <w:lang w:val="en-US" w:eastAsia="zh-CN"/>
        </w:rPr>
        <w:t>1</w:t>
      </w:r>
    </w:p>
    <w:p w14:paraId="3AE4F395">
      <w:pPr>
        <w:keepNext w:val="0"/>
        <w:keepLines w:val="0"/>
        <w:pageBreakBefore w:val="0"/>
        <w:widowControl/>
        <w:kinsoku/>
        <w:wordWrap/>
        <w:overflowPunct/>
        <w:topLinePunct w:val="0"/>
        <w:autoSpaceDE/>
        <w:autoSpaceDN/>
        <w:bidi w:val="0"/>
        <w:spacing w:line="600" w:lineRule="exact"/>
        <w:contextualSpacing/>
        <w:jc w:val="center"/>
        <w:textAlignment w:val="auto"/>
        <w:outlineLvl w:val="9"/>
        <w:rPr>
          <w:rFonts w:hint="eastAsia" w:ascii="方正小标宋_GBK" w:hAnsi="方正小标宋_GBK" w:eastAsia="方正小标宋_GBK" w:cs="方正小标宋_GBK"/>
          <w:b w:val="0"/>
          <w:bCs/>
          <w:sz w:val="44"/>
          <w:szCs w:val="44"/>
          <w:highlight w:val="none"/>
          <w:shd w:val="clear" w:color="auto" w:fill="FFFFFF"/>
        </w:rPr>
      </w:pPr>
    </w:p>
    <w:p w14:paraId="1B7DC0F5">
      <w:pPr>
        <w:keepNext w:val="0"/>
        <w:keepLines w:val="0"/>
        <w:pageBreakBefore w:val="0"/>
        <w:widowControl/>
        <w:kinsoku/>
        <w:wordWrap/>
        <w:overflowPunct/>
        <w:topLinePunct w:val="0"/>
        <w:autoSpaceDE/>
        <w:autoSpaceDN/>
        <w:bidi w:val="0"/>
        <w:spacing w:line="600" w:lineRule="exact"/>
        <w:contextualSpacing/>
        <w:jc w:val="center"/>
        <w:textAlignment w:val="auto"/>
        <w:rPr>
          <w:rFonts w:hint="eastAsia" w:ascii="方正小标宋_GBK" w:hAnsi="方正小标宋_GBK" w:eastAsia="方正小标宋_GBK" w:cs="方正小标宋_GBK"/>
          <w:bCs/>
          <w:sz w:val="44"/>
          <w:szCs w:val="44"/>
          <w:shd w:val="clear" w:color="auto" w:fill="FFFFFF"/>
        </w:rPr>
      </w:pPr>
      <w:r>
        <w:rPr>
          <w:rFonts w:hint="eastAsia" w:ascii="方正小标宋_GBK" w:hAnsi="方正小标宋_GBK" w:eastAsia="方正小标宋_GBK" w:cs="方正小标宋_GBK"/>
          <w:bCs/>
          <w:sz w:val="44"/>
          <w:szCs w:val="44"/>
          <w:shd w:val="clear" w:color="auto" w:fill="FFFFFF"/>
        </w:rPr>
        <w:t>攀枝花市社会保险事务中心</w:t>
      </w:r>
    </w:p>
    <w:p w14:paraId="7D1A403A">
      <w:pPr>
        <w:keepNext w:val="0"/>
        <w:keepLines w:val="0"/>
        <w:pageBreakBefore w:val="0"/>
        <w:widowControl/>
        <w:kinsoku/>
        <w:wordWrap/>
        <w:overflowPunct/>
        <w:topLinePunct w:val="0"/>
        <w:autoSpaceDE/>
        <w:autoSpaceDN/>
        <w:bidi w:val="0"/>
        <w:spacing w:line="600" w:lineRule="exact"/>
        <w:contextualSpacing/>
        <w:jc w:val="center"/>
        <w:textAlignment w:val="auto"/>
        <w:rPr>
          <w:rFonts w:hint="eastAsia" w:ascii="方正小标宋_GBK" w:hAnsi="方正小标宋_GBK" w:eastAsia="方正小标宋_GBK" w:cs="方正小标宋_GBK"/>
          <w:bCs/>
          <w:sz w:val="44"/>
          <w:szCs w:val="44"/>
          <w:shd w:val="clear" w:color="auto" w:fill="FFFFFF"/>
        </w:rPr>
      </w:pPr>
      <w:r>
        <w:rPr>
          <w:rFonts w:hint="eastAsia" w:ascii="方正小标宋_GBK" w:hAnsi="方正小标宋_GBK" w:eastAsia="方正小标宋_GBK" w:cs="方正小标宋_GBK"/>
          <w:bCs/>
          <w:sz w:val="44"/>
          <w:szCs w:val="44"/>
          <w:shd w:val="clear" w:color="auto" w:fill="FFFFFF"/>
          <w:lang w:val="en-US" w:eastAsia="zh-CN"/>
        </w:rPr>
        <w:t>2024年</w:t>
      </w:r>
      <w:r>
        <w:rPr>
          <w:rFonts w:hint="eastAsia" w:ascii="方正小标宋_GBK" w:hAnsi="方正小标宋_GBK" w:eastAsia="方正小标宋_GBK" w:cs="方正小标宋_GBK"/>
          <w:bCs/>
          <w:sz w:val="44"/>
          <w:szCs w:val="44"/>
          <w:shd w:val="clear" w:color="auto" w:fill="FFFFFF"/>
        </w:rPr>
        <w:t>部门预算绩效自评报告</w:t>
      </w:r>
    </w:p>
    <w:p w14:paraId="278A7D94">
      <w:pPr>
        <w:keepNext w:val="0"/>
        <w:keepLines w:val="0"/>
        <w:pageBreakBefore w:val="0"/>
        <w:widowControl/>
        <w:kinsoku/>
        <w:wordWrap/>
        <w:overflowPunct/>
        <w:topLinePunct w:val="0"/>
        <w:autoSpaceDE/>
        <w:autoSpaceDN/>
        <w:bidi w:val="0"/>
        <w:spacing w:line="600" w:lineRule="exact"/>
        <w:contextualSpacing/>
        <w:jc w:val="center"/>
        <w:textAlignment w:val="auto"/>
        <w:rPr>
          <w:rFonts w:hint="default" w:ascii="Times New Roman" w:hAnsi="Times New Roman" w:eastAsia="方正小标宋简体" w:cs="Times New Roman"/>
          <w:bCs/>
          <w:sz w:val="44"/>
          <w:szCs w:val="44"/>
          <w:shd w:val="clear" w:color="auto" w:fill="FFFFFF"/>
        </w:rPr>
      </w:pPr>
    </w:p>
    <w:p w14:paraId="3D5C3F12">
      <w:pPr>
        <w:keepNext w:val="0"/>
        <w:keepLines w:val="0"/>
        <w:pageBreakBefore w:val="0"/>
        <w:widowControl/>
        <w:kinsoku/>
        <w:wordWrap/>
        <w:overflowPunct/>
        <w:topLinePunct w:val="0"/>
        <w:autoSpaceDE/>
        <w:autoSpaceDN/>
        <w:bidi w:val="0"/>
        <w:adjustRightInd w:val="0"/>
        <w:snapToGrid w:val="0"/>
        <w:spacing w:line="600" w:lineRule="exact"/>
        <w:contextualSpacing/>
        <w:jc w:val="left"/>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攀枝花市财政局：</w:t>
      </w:r>
    </w:p>
    <w:p w14:paraId="7535D33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zh-CN" w:eastAsia="zh-CN" w:bidi="ar-SA"/>
        </w:rPr>
        <w:t>按照《攀枝花市财政局关于开展市本级预算绩效自评工作的通知》（攀财绩〔202</w:t>
      </w:r>
      <w:r>
        <w:rPr>
          <w:rFonts w:hint="default" w:ascii="Times New Roman" w:hAnsi="Times New Roman" w:eastAsia="仿宋_GB2312" w:cs="Times New Roman"/>
          <w:color w:val="auto"/>
          <w:kern w:val="0"/>
          <w:sz w:val="32"/>
          <w:szCs w:val="32"/>
          <w:lang w:val="en-US" w:eastAsia="zh-CN" w:bidi="ar-SA"/>
        </w:rPr>
        <w:t>5</w:t>
      </w:r>
      <w:r>
        <w:rPr>
          <w:rFonts w:hint="default" w:ascii="Times New Roman" w:hAnsi="Times New Roman" w:eastAsia="仿宋_GB2312" w:cs="Times New Roman"/>
          <w:color w:val="auto"/>
          <w:kern w:val="0"/>
          <w:sz w:val="32"/>
          <w:szCs w:val="32"/>
          <w:lang w:val="zh-CN" w:eastAsia="zh-CN" w:bidi="ar-SA"/>
        </w:rPr>
        <w:t>〕</w:t>
      </w: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号）要求，</w:t>
      </w:r>
      <w:r>
        <w:rPr>
          <w:rFonts w:hint="default" w:ascii="Times New Roman" w:hAnsi="Times New Roman" w:eastAsia="仿宋_GB2312" w:cs="Times New Roman"/>
          <w:color w:val="auto"/>
          <w:kern w:val="0"/>
          <w:sz w:val="32"/>
          <w:szCs w:val="32"/>
          <w:lang w:val="en-US" w:eastAsia="zh-CN" w:bidi="ar-SA"/>
        </w:rPr>
        <w:t>着力提升财政资源配置效率和资金</w:t>
      </w:r>
      <w:r>
        <w:rPr>
          <w:rFonts w:hint="default" w:ascii="Times New Roman" w:hAnsi="Times New Roman" w:eastAsia="仿宋_GB2312" w:cs="Times New Roman"/>
          <w:color w:val="auto"/>
          <w:kern w:val="0"/>
          <w:sz w:val="32"/>
          <w:szCs w:val="32"/>
          <w:lang w:val="zh-CN" w:eastAsia="zh-CN" w:bidi="ar-SA"/>
        </w:rPr>
        <w:t>使用效益，</w:t>
      </w:r>
      <w:r>
        <w:rPr>
          <w:rFonts w:hint="eastAsia" w:ascii="Times New Roman" w:hAnsi="Times New Roman" w:eastAsia="仿宋_GB2312" w:cs="Times New Roman"/>
          <w:color w:val="auto"/>
          <w:kern w:val="0"/>
          <w:sz w:val="32"/>
          <w:szCs w:val="32"/>
          <w:lang w:val="en-US" w:eastAsia="zh-CN" w:bidi="ar-SA"/>
        </w:rPr>
        <w:t>攀枝花</w:t>
      </w:r>
      <w:r>
        <w:rPr>
          <w:rFonts w:hint="default" w:ascii="Times New Roman" w:hAnsi="Times New Roman" w:eastAsia="仿宋_GB2312" w:cs="Times New Roman"/>
          <w:color w:val="auto"/>
          <w:kern w:val="0"/>
          <w:sz w:val="32"/>
          <w:szCs w:val="32"/>
          <w:lang w:val="en-US" w:eastAsia="zh-CN" w:bidi="ar-SA"/>
        </w:rPr>
        <w:t>市社会保险事务中心</w:t>
      </w:r>
      <w:r>
        <w:rPr>
          <w:rFonts w:hint="default" w:ascii="Times New Roman" w:hAnsi="Times New Roman" w:eastAsia="仿宋_GB2312" w:cs="Times New Roman"/>
          <w:color w:val="auto"/>
          <w:kern w:val="0"/>
          <w:sz w:val="32"/>
          <w:szCs w:val="32"/>
          <w:lang w:val="zh-CN" w:eastAsia="zh-CN" w:bidi="ar-SA"/>
        </w:rPr>
        <w:t>中心认真组织开展了202</w:t>
      </w:r>
      <w:r>
        <w:rPr>
          <w:rFonts w:hint="default" w:ascii="Times New Roman" w:hAnsi="Times New Roman" w:eastAsia="仿宋_GB2312" w:cs="Times New Roman"/>
          <w:color w:val="auto"/>
          <w:kern w:val="0"/>
          <w:sz w:val="32"/>
          <w:szCs w:val="32"/>
          <w:lang w:val="en-US" w:eastAsia="zh-CN" w:bidi="ar-SA"/>
        </w:rPr>
        <w:t>4</w:t>
      </w:r>
      <w:r>
        <w:rPr>
          <w:rFonts w:hint="default" w:ascii="Times New Roman" w:hAnsi="Times New Roman" w:eastAsia="仿宋_GB2312" w:cs="Times New Roman"/>
          <w:color w:val="auto"/>
          <w:kern w:val="0"/>
          <w:sz w:val="32"/>
          <w:szCs w:val="32"/>
          <w:lang w:val="zh-CN" w:eastAsia="zh-CN" w:bidi="ar-SA"/>
        </w:rPr>
        <w:t>年部门预算整体绩效自评工作，</w:t>
      </w:r>
      <w:r>
        <w:rPr>
          <w:rFonts w:hint="default" w:ascii="Times New Roman" w:hAnsi="Times New Roman" w:eastAsia="仿宋_GB2312" w:cs="Times New Roman"/>
          <w:color w:val="auto"/>
          <w:kern w:val="0"/>
          <w:sz w:val="32"/>
          <w:szCs w:val="32"/>
          <w:lang w:val="en-US" w:eastAsia="zh-CN" w:bidi="ar-SA"/>
        </w:rPr>
        <w:t>现将相关情况</w:t>
      </w:r>
      <w:r>
        <w:rPr>
          <w:rFonts w:hint="default" w:ascii="Times New Roman" w:hAnsi="Times New Roman" w:eastAsia="仿宋_GB2312" w:cs="Times New Roman"/>
          <w:color w:val="auto"/>
          <w:kern w:val="0"/>
          <w:sz w:val="32"/>
          <w:szCs w:val="32"/>
          <w:lang w:val="zh-CN" w:eastAsia="zh-CN" w:bidi="ar-SA"/>
        </w:rPr>
        <w:t>报告如下。</w:t>
      </w:r>
    </w:p>
    <w:p w14:paraId="6C4BDA7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黑体" w:cs="Times New Roman"/>
          <w:color w:val="000000"/>
          <w:kern w:val="0"/>
          <w:sz w:val="32"/>
          <w:szCs w:val="32"/>
          <w:shd w:val="clear" w:color="auto" w:fill="FFFFFF"/>
          <w:lang w:val="zh-CN" w:eastAsia="zh-CN"/>
        </w:rPr>
        <w:t>一、部门（单位）基本情况</w:t>
      </w:r>
    </w:p>
    <w:p w14:paraId="0C27E14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（一）机构组成</w:t>
      </w:r>
    </w:p>
    <w:p w14:paraId="15A66B1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攀枝花市社会保险事务中心是攀枝花市人力资源和社会保障局下属参照公务员法管理的事业单位，内设十科一室。</w:t>
      </w:r>
    </w:p>
    <w:p w14:paraId="5E296FF0">
      <w:pPr>
        <w:keepNext w:val="0"/>
        <w:keepLines w:val="0"/>
        <w:pageBreakBefore w:val="0"/>
        <w:numPr>
          <w:ilvl w:val="0"/>
          <w:numId w:val="1"/>
        </w:numPr>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机构职能</w:t>
      </w:r>
    </w:p>
    <w:p w14:paraId="53AE5B71">
      <w:pPr>
        <w:keepNext w:val="0"/>
        <w:keepLines w:val="0"/>
        <w:pageBreakBefore w:val="0"/>
        <w:numPr>
          <w:ilvl w:val="0"/>
          <w:numId w:val="0"/>
        </w:numPr>
        <w:kinsoku/>
        <w:wordWrap/>
        <w:overflowPunct/>
        <w:topLinePunct w:val="0"/>
        <w:autoSpaceDE/>
        <w:autoSpaceDN/>
        <w:bidi w:val="0"/>
        <w:adjustRightInd/>
        <w:spacing w:line="600" w:lineRule="exact"/>
        <w:ind w:firstLine="640" w:firstLineChars="200"/>
        <w:jc w:val="both"/>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color w:val="auto"/>
          <w:kern w:val="0"/>
          <w:sz w:val="32"/>
          <w:szCs w:val="32"/>
          <w:lang w:val="zh-CN" w:eastAsia="zh-CN" w:bidi="ar-SA"/>
        </w:rPr>
        <w:t>攀枝花市社会保险事务中心主要职责为受理城镇应参加养老保险单位和个人的社会保险登记、申报管理。承担机关事业单位职业年金的征缴工作，承担养老保险管理工作。按规定核准和支付参保人员的养老保险待遇。建立和管理参保单位和个人缴费记录。开展与</w:t>
      </w:r>
      <w:r>
        <w:rPr>
          <w:rFonts w:hint="default" w:ascii="Times New Roman" w:hAnsi="Times New Roman" w:eastAsia="仿宋_GB2312" w:cs="Times New Roman"/>
          <w:sz w:val="32"/>
          <w:szCs w:val="32"/>
        </w:rPr>
        <w:t>养老保险费征缴有关稽核工作。具体指导全市企业离退休人员社会化管理服务工作。负责组织实施全市机关事业单位养老保险社会统筹、制定和完善业务经办流程及内部控制管理制度、统一基金收支管理和离退休人员养老金发放。负责市本级机关事业单位参保登记、申报缴费、关系转移接续、个人账户和职业年金账户的建立管理、退休待遇核定、社会保险稽核和基金管理。指导各县（区）社保经办机构开展相关工作。承担工伤保险经办管理、市本级工伤保险单位行业风险类别及单位缴费率核定、编制工伤保险支付计划及劳动能力鉴定服务工作。负责指导全市工伤保险经办工作。组织实施全市工伤保险预防工作。</w:t>
      </w:r>
    </w:p>
    <w:p w14:paraId="1C4EEB0F">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人员概况</w:t>
      </w:r>
    </w:p>
    <w:p w14:paraId="3259A8DB">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截至2024年末，攀枝花市社会保险事务中心核定人员编制数61人，实有在编人员58人，退休人员33人。根据工作需要另外聘用人员12人。</w:t>
      </w:r>
    </w:p>
    <w:p w14:paraId="0CC5333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黑体" w:cs="Times New Roman"/>
          <w:color w:val="000000"/>
          <w:kern w:val="0"/>
          <w:sz w:val="32"/>
          <w:szCs w:val="32"/>
          <w:shd w:val="clear" w:color="auto" w:fill="FFFFFF"/>
        </w:rPr>
      </w:pPr>
      <w:r>
        <w:rPr>
          <w:rFonts w:hint="default" w:ascii="Times New Roman" w:hAnsi="Times New Roman" w:eastAsia="黑体" w:cs="Times New Roman"/>
          <w:color w:val="000000"/>
          <w:kern w:val="0"/>
          <w:sz w:val="32"/>
          <w:szCs w:val="32"/>
          <w:shd w:val="clear" w:color="auto" w:fill="FFFFFF"/>
        </w:rPr>
        <w:t>二、部门资金收支情况</w:t>
      </w:r>
    </w:p>
    <w:p w14:paraId="41E5A2F0">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（一）收入情况</w:t>
      </w:r>
    </w:p>
    <w:p w14:paraId="005349F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2024年初预算收入1474.61万元。2024年决算报表中本年收入1482.05万元，其中：行政运行922.57万元，占62.25%；社会保险经办机构139.97万元，占9.44%；其他人力资源和社会保障管理事务16.8万元，占1.13%；行政单位离退休100.12万元，占6.76%；机关事业单位基本养老保险缴费110.66万元，占7.47%；机关事业单位职业年金缴费22.88万元，占1.54%；行政单位医疗62.24万元，占4.2%；公务员医疗补助7.03万元，占0.47%；其他行政事业单位医疗8.08万元，占0.55%；住房公积金91.71万元，占6.19%。</w:t>
      </w:r>
    </w:p>
    <w:p w14:paraId="507A4AEE">
      <w:pPr>
        <w:keepNext w:val="0"/>
        <w:keepLines w:val="0"/>
        <w:pageBreakBefore w:val="0"/>
        <w:widowControl/>
        <w:numPr>
          <w:ilvl w:val="0"/>
          <w:numId w:val="2"/>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支出情况</w:t>
      </w:r>
    </w:p>
    <w:p w14:paraId="0810DE6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2024年初预算支出1474.61万元。2024年决算报表中本年支出1482.05万元，其中：行政运行922.57万元，占62.25%；社会保险经办机构139.97万元，占9.44%；其他人力资源和社会保障管理事务16.8万元，占1.13%；行政单位离退休100.12万元，占6.76%；机关事业单位基本养老保险缴费110.66万元，占7.47%；机关事业单位职业年金缴费22.88万元，占1.54%；行政单位医疗62.24万元，占4.2%；公务员医疗补助7.03万元，占0.47%；其他行政事业单位医疗8.08万元，占0.55%；住房公积金91.71万元，占6.19%。</w:t>
      </w:r>
    </w:p>
    <w:p w14:paraId="5679BF4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2024年，全市社会保险经办工作以习近平新时代中国特色社会主义思想为指导，深入学习贯彻党的二十大、二十届三中全会和习近平总书记对社会保障工作指示精神，全面落实省委十二届六次全会精神、市委十一届七次全会精神，不断强化运行管理、优化经办服务，巩固深化标准化、信息化成果，大力推进精细化、数字化、智能化、专业化建设，推动社保经办工作高质量可持续发展，兜住、兜准、兜牢民生底线，为建设高质量发展攀枝花共同富裕试验区贡献社保力量。</w:t>
      </w:r>
    </w:p>
    <w:p w14:paraId="1E1ABBE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1.紧盯重点，推进全民参保。一是强化政策宣传。深入开展 “社保服务进万家”活动，有效提高用人单位和群众参保缴费意识。二是探索扩面提质行动。积极探索集体经济补助城乡居民基本养老保险参保缴费试点推动城乡居民养老保险扩面提质，为促进共同富裕提供新的保障措施。三是开展重点群体精准扩面。依托部门间交换数据，摸清参保人员底数，对农民工、灵活就业人员、新就业形态就业人员、有经济实力农村居民等重点群体精准实施政策宣传，积极引导参加养老保险。截至2024年12月底，全市养老保险参保人数82.34万人；工伤保险参保人数26.46万人。</w:t>
      </w:r>
    </w:p>
    <w:p w14:paraId="5B446A1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2.积极争取，保障待遇到位。坚决扛起社保待遇按时足额发放的政治责任，积极向上争取资金支持，保障退休人员基本养老金和工伤人员待遇按时足额发放，让参保人员共享改革发展成果。截至2024年12月底，</w:t>
      </w:r>
      <w:r>
        <w:rPr>
          <w:rFonts w:hint="eastAsia" w:ascii="Times New Roman" w:hAnsi="Times New Roman" w:eastAsia="仿宋_GB2312" w:cs="Times New Roman"/>
          <w:color w:val="auto"/>
          <w:kern w:val="0"/>
          <w:sz w:val="32"/>
          <w:szCs w:val="32"/>
          <w:lang w:val="en-US" w:eastAsia="zh-CN" w:bidi="ar-SA"/>
        </w:rPr>
        <w:t>按时足额</w:t>
      </w:r>
      <w:r>
        <w:rPr>
          <w:rFonts w:hint="default" w:ascii="Times New Roman" w:hAnsi="Times New Roman" w:eastAsia="仿宋_GB2312" w:cs="Times New Roman"/>
          <w:color w:val="auto"/>
          <w:kern w:val="0"/>
          <w:sz w:val="32"/>
          <w:szCs w:val="32"/>
          <w:lang w:val="en-US" w:eastAsia="zh-CN" w:bidi="ar-SA"/>
        </w:rPr>
        <w:t>为全市32.89万名待遇领取人员发放社保待遇。</w:t>
      </w:r>
    </w:p>
    <w:p w14:paraId="29621EE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3.严格执行，调待精准落实。圆满完成全市25.45万名退休人员和7.6万名城乡居保领取待遇人员基本养老金调整工作。</w:t>
      </w:r>
    </w:p>
    <w:p w14:paraId="3BD6D47C">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4.多措并举，确保改革落地。为认真贯彻落实好党中央延迟退休改革作出的重大部署，按照“全国一盘棋”要求，全力以赴，协同配合，坚持凝聚社会共识推动改革在我市顺利进行。建立了市政府领导、26个市级部门参加的专项工作机制，并指导5个县（区)相应建立工作机制。按照全域全员、分层分类、注重实效原则，开展政策培训。</w:t>
      </w:r>
    </w:p>
    <w:p w14:paraId="78817B3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5.严格规范，抓实全国统筹。按照我省全面贯彻落实企业职工基本养老保险全国统筹改革任务，积极参与我省全国统筹政策修改完善等工作，高质量完成省厅下达的养老保险政策研究等工作任务。紧贴实际，全面梳理省、市政策执行差异，研究明确政策口径，推进业务经办流程及管理规则调整等工作。全面贯彻“退休一件事”高效服务，2024年全市共办理退休11719人,其中特殊工种提前退休1094人。</w:t>
      </w:r>
    </w:p>
    <w:p w14:paraId="4EBDB87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6.严抓落实，帮扶成效显著。一是严格执行全省工伤保险缴费基准费率。二是严格落实困难群体帮扶政策。为低保对象、特困人员、重度残疾人、原建档立卡人员代缴率100%。</w:t>
      </w:r>
    </w:p>
    <w:p w14:paraId="4D49DA6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7.防控风险，维护基金安全。一是完善风险防控体系。完善社保政策、经办、信息、监督“四位一体”的风险防控体系，提升基金管理水平，切实维护基金安全。 二是加强业务抽查。每月通过风险防控子系统定期或不定期按不低于5%的比例对各类高风险业务开展抽查，促进业务安全规范。三是加强与部门间数据共享，从</w:t>
      </w:r>
      <w:r>
        <w:rPr>
          <w:rFonts w:hint="eastAsia" w:ascii="Times New Roman" w:hAnsi="Times New Roman" w:eastAsia="仿宋_GB2312" w:cs="Times New Roman"/>
          <w:color w:val="auto"/>
          <w:kern w:val="0"/>
          <w:sz w:val="32"/>
          <w:szCs w:val="32"/>
          <w:lang w:val="en-US" w:eastAsia="zh-CN" w:bidi="ar-SA"/>
        </w:rPr>
        <w:t>相关部门</w:t>
      </w:r>
      <w:r>
        <w:rPr>
          <w:rFonts w:hint="default" w:ascii="Times New Roman" w:hAnsi="Times New Roman" w:eastAsia="仿宋_GB2312" w:cs="Times New Roman"/>
          <w:color w:val="auto"/>
          <w:kern w:val="0"/>
          <w:sz w:val="32"/>
          <w:szCs w:val="32"/>
          <w:lang w:val="en-US" w:eastAsia="zh-CN" w:bidi="ar-SA"/>
        </w:rPr>
        <w:t>交换参保人员生存状态异常、身份状态异常、被判处刑罚或被社区矫正的数据，对不应参与调待的社区矫正人员提前置标，规避多发调待金额风险。</w:t>
      </w:r>
    </w:p>
    <w:p w14:paraId="3B82684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8.多管齐下，筑牢工伤“防护堤”。开展煤矿行业工伤预防能力提升培训15期，覆盖“三类人员”1065人；开展定制化工伤预防专题培训32场，覆盖职工1690人；对工伤事故风险较高、职业病危害因素较大的32家中小微企业开展隐患排查工作，排查工伤工伤事故隐患725条。形成工伤预防知识48篇、MG动画12部、宣传标语视频6条、抖音小视频5部，通过广播、电视、微信公众号等平台进行线上宣传；进社区、园区和学校开展线上线下同步宣传12场，进一步增强了广大用人单位和职工的知法、守法和维权意识，有效防范各类工伤事故和职业危害，切实维护了广大职工工伤保险权益。</w:t>
      </w:r>
    </w:p>
    <w:p w14:paraId="040D6151">
      <w:pPr>
        <w:keepNext w:val="0"/>
        <w:keepLines w:val="0"/>
        <w:pageBreakBefore w:val="0"/>
        <w:widowControl/>
        <w:numPr>
          <w:ilvl w:val="0"/>
          <w:numId w:val="2"/>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结余分配和结转结余情况</w:t>
      </w:r>
    </w:p>
    <w:p w14:paraId="5757669B">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攀枝花市社会保险事务中心2024年决算报表中无结转结余。</w:t>
      </w:r>
    </w:p>
    <w:p w14:paraId="0106B35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黑体" w:cs="Times New Roman"/>
          <w:color w:val="000000" w:themeColor="text1"/>
          <w:kern w:val="0"/>
          <w:sz w:val="32"/>
          <w:szCs w:val="32"/>
          <w:shd w:val="clear" w:color="auto" w:fill="FFFFFF"/>
          <w14:textFill>
            <w14:solidFill>
              <w14:schemeClr w14:val="tx1"/>
            </w14:solidFill>
          </w14:textFill>
        </w:rPr>
      </w:pPr>
      <w:r>
        <w:rPr>
          <w:rFonts w:hint="default" w:ascii="Times New Roman" w:hAnsi="Times New Roman" w:eastAsia="黑体" w:cs="Times New Roman"/>
          <w:color w:val="000000"/>
          <w:kern w:val="0"/>
          <w:sz w:val="32"/>
          <w:szCs w:val="32"/>
          <w:shd w:val="clear" w:color="auto" w:fill="FFFFFF"/>
        </w:rPr>
        <w:t>三、部门预算绩效分析</w:t>
      </w:r>
    </w:p>
    <w:p w14:paraId="1902B289">
      <w:pPr>
        <w:keepNext w:val="0"/>
        <w:keepLines w:val="0"/>
        <w:pageBreakBefore w:val="0"/>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（一）部门预算总体绩效分析</w:t>
      </w:r>
    </w:p>
    <w:p w14:paraId="4C451BEC">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1.</w:t>
      </w:r>
      <w:r>
        <w:rPr>
          <w:rFonts w:hint="default" w:ascii="Times New Roman" w:hAnsi="Times New Roman" w:eastAsia="楷体_GB2312" w:cs="Times New Roman"/>
          <w:color w:val="000000"/>
          <w:kern w:val="0"/>
          <w:sz w:val="32"/>
          <w:szCs w:val="32"/>
          <w:shd w:val="clear" w:color="auto" w:fill="FFFFFF"/>
          <w:lang w:val="zh-CN"/>
        </w:rPr>
        <w:t>履职效能。</w:t>
      </w:r>
    </w:p>
    <w:p w14:paraId="2AAB697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社保公共服务能力建设资金”项目在当期完成了项目的总体实施，执行率100%。2024年为新增退休人员建立起基础信息，完善了社会化服务管理信息，离退休人员社会化管理率达到100%。全面完成2024年离退休人员领取社保待遇资格认证工作，养老金领取资格认证率达到100%。确保了企业职工基本养老保险全国统筹顺利推进。</w:t>
      </w:r>
    </w:p>
    <w:p w14:paraId="166D0EC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省管森工企业离退休人员社会化管理经费”项目在当期完成了项目的总体实施，执行率100%。2024年为省管森工企业离退休人员完善了社会化服务管理信息，退休人员社会化管理率达到100%。确保代管的省管森工企业离退休人员基本养老金按时足额发放，提升省管森工企业离退休人员社会化管理服务水平。</w:t>
      </w:r>
    </w:p>
    <w:p w14:paraId="4D663F6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w:t>
      </w: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w:t>
      </w:r>
      <w:r>
        <w:rPr>
          <w:rFonts w:hint="default" w:ascii="Times New Roman" w:hAnsi="Times New Roman" w:eastAsia="仿宋_GB2312" w:cs="Times New Roman"/>
          <w:color w:val="auto"/>
          <w:kern w:val="0"/>
          <w:sz w:val="32"/>
          <w:szCs w:val="32"/>
          <w:lang w:val="en-US" w:eastAsia="zh-CN" w:bidi="ar-SA"/>
        </w:rPr>
        <w:t>“入驻政务中心单位租金、物业费及水电费”项目在当期完成了项目的总体实施，执行率100%。保证了</w:t>
      </w:r>
      <w:r>
        <w:rPr>
          <w:rFonts w:hint="eastAsia" w:ascii="Times New Roman" w:hAnsi="Times New Roman" w:eastAsia="仿宋_GB2312" w:cs="Times New Roman"/>
          <w:color w:val="auto"/>
          <w:kern w:val="0"/>
          <w:sz w:val="32"/>
          <w:szCs w:val="32"/>
          <w:lang w:val="en-US" w:eastAsia="zh-CN" w:bidi="ar-SA"/>
        </w:rPr>
        <w:t>攀枝花</w:t>
      </w:r>
      <w:r>
        <w:rPr>
          <w:rFonts w:hint="default" w:ascii="Times New Roman" w:hAnsi="Times New Roman" w:eastAsia="仿宋_GB2312" w:cs="Times New Roman"/>
          <w:color w:val="auto"/>
          <w:kern w:val="0"/>
          <w:sz w:val="32"/>
          <w:szCs w:val="32"/>
          <w:lang w:val="en-US" w:eastAsia="zh-CN" w:bidi="ar-SA"/>
        </w:rPr>
        <w:t>市社会保险事务中心工作正常开展</w:t>
      </w:r>
      <w:r>
        <w:rPr>
          <w:rFonts w:hint="default" w:ascii="Times New Roman" w:hAnsi="Times New Roman" w:eastAsia="仿宋_GB2312" w:cs="Times New Roman"/>
          <w:color w:val="auto"/>
          <w:kern w:val="0"/>
          <w:sz w:val="32"/>
          <w:szCs w:val="32"/>
          <w:lang w:val="zh-CN" w:eastAsia="zh-CN" w:bidi="ar-SA"/>
        </w:rPr>
        <w:t>。</w:t>
      </w:r>
    </w:p>
    <w:p w14:paraId="213B74B6">
      <w:pPr>
        <w:keepNext w:val="0"/>
        <w:keepLines w:val="0"/>
        <w:pageBreakBefore w:val="0"/>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2.</w:t>
      </w:r>
      <w:r>
        <w:rPr>
          <w:rFonts w:hint="default" w:ascii="Times New Roman" w:hAnsi="Times New Roman" w:eastAsia="楷体_GB2312" w:cs="Times New Roman"/>
          <w:color w:val="000000"/>
          <w:kern w:val="0"/>
          <w:sz w:val="32"/>
          <w:szCs w:val="32"/>
          <w:shd w:val="clear" w:color="auto" w:fill="FFFFFF"/>
          <w:lang w:val="zh-CN"/>
        </w:rPr>
        <w:t>预算管理。</w:t>
      </w:r>
    </w:p>
    <w:p w14:paraId="1030E60D">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cs="Times New Roman"/>
          <w:color w:val="000000"/>
          <w:kern w:val="0"/>
          <w:sz w:val="32"/>
          <w:szCs w:val="32"/>
          <w:shd w:val="clear" w:color="auto" w:fill="FFFFFF"/>
          <w:lang w:val="zh-CN" w:eastAsia="zh-CN"/>
        </w:rPr>
      </w:pPr>
      <w:r>
        <w:rPr>
          <w:rFonts w:hint="default" w:ascii="Times New Roman" w:hAnsi="Times New Roman" w:eastAsia="仿宋_GB2312" w:cs="Times New Roman"/>
          <w:color w:val="auto"/>
          <w:kern w:val="0"/>
          <w:sz w:val="32"/>
          <w:szCs w:val="32"/>
          <w:lang w:val="zh-CN" w:eastAsia="zh-CN" w:bidi="ar-SA"/>
        </w:rPr>
        <w:t>攀枝花市社会保险事务中心严格按要求编制年初部门预算，年初预算编制具有科学性和准确性。严控“三公”经费、会议费、培训费、差旅费等支出，年终无结转结余。</w:t>
      </w:r>
    </w:p>
    <w:p w14:paraId="27C3F3B4">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3.</w:t>
      </w:r>
      <w:r>
        <w:rPr>
          <w:rFonts w:hint="default" w:ascii="Times New Roman" w:hAnsi="Times New Roman" w:eastAsia="楷体_GB2312" w:cs="Times New Roman"/>
          <w:color w:val="000000"/>
          <w:kern w:val="0"/>
          <w:sz w:val="32"/>
          <w:szCs w:val="32"/>
          <w:shd w:val="clear" w:color="auto" w:fill="FFFFFF"/>
          <w:lang w:val="zh-CN"/>
        </w:rPr>
        <w:t>财务管理。</w:t>
      </w:r>
    </w:p>
    <w:p w14:paraId="321A39E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攀枝花市社会保险事务中心建立了财务管理制度，由办公室统一管理</w:t>
      </w:r>
      <w:r>
        <w:rPr>
          <w:rFonts w:hint="default" w:ascii="Times New Roman" w:hAnsi="Times New Roman" w:eastAsia="仿宋_GB2312" w:cs="Times New Roman"/>
          <w:color w:val="auto"/>
          <w:kern w:val="0"/>
          <w:sz w:val="32"/>
          <w:szCs w:val="32"/>
          <w:lang w:val="en-US" w:eastAsia="zh-CN" w:bidi="ar-SA"/>
        </w:rPr>
        <w:t>各项</w:t>
      </w:r>
      <w:r>
        <w:rPr>
          <w:rFonts w:hint="default" w:ascii="Times New Roman" w:hAnsi="Times New Roman" w:eastAsia="仿宋_GB2312" w:cs="Times New Roman"/>
          <w:color w:val="auto"/>
          <w:kern w:val="0"/>
          <w:sz w:val="32"/>
          <w:szCs w:val="32"/>
          <w:lang w:val="zh-CN" w:eastAsia="zh-CN" w:bidi="ar-SA"/>
        </w:rPr>
        <w:t>资金，严格按照</w:t>
      </w:r>
      <w:r>
        <w:rPr>
          <w:rFonts w:hint="eastAsia" w:ascii="Times New Roman" w:hAnsi="Times New Roman" w:eastAsia="仿宋_GB2312" w:cs="Times New Roman"/>
          <w:color w:val="auto"/>
          <w:kern w:val="0"/>
          <w:sz w:val="32"/>
          <w:szCs w:val="32"/>
          <w:lang w:val="zh-CN" w:eastAsia="zh-CN" w:bidi="ar-SA"/>
        </w:rPr>
        <w:t>市</w:t>
      </w:r>
      <w:r>
        <w:rPr>
          <w:rFonts w:hint="default" w:ascii="Times New Roman" w:hAnsi="Times New Roman" w:eastAsia="仿宋_GB2312" w:cs="Times New Roman"/>
          <w:color w:val="auto"/>
          <w:kern w:val="0"/>
          <w:sz w:val="32"/>
          <w:szCs w:val="32"/>
          <w:lang w:val="zh-CN" w:eastAsia="zh-CN" w:bidi="ar-SA"/>
        </w:rPr>
        <w:t>财政</w:t>
      </w:r>
      <w:r>
        <w:rPr>
          <w:rFonts w:hint="eastAsia" w:ascii="Times New Roman" w:hAnsi="Times New Roman" w:eastAsia="仿宋_GB2312" w:cs="Times New Roman"/>
          <w:color w:val="auto"/>
          <w:kern w:val="0"/>
          <w:sz w:val="32"/>
          <w:szCs w:val="32"/>
          <w:lang w:val="en-US" w:eastAsia="zh-CN" w:bidi="ar-SA"/>
        </w:rPr>
        <w:t>局</w:t>
      </w:r>
      <w:r>
        <w:rPr>
          <w:rFonts w:hint="default" w:ascii="Times New Roman" w:hAnsi="Times New Roman" w:eastAsia="仿宋_GB2312" w:cs="Times New Roman"/>
          <w:color w:val="auto"/>
          <w:kern w:val="0"/>
          <w:sz w:val="32"/>
          <w:szCs w:val="32"/>
          <w:lang w:val="zh-CN" w:eastAsia="zh-CN" w:bidi="ar-SA"/>
        </w:rPr>
        <w:t>要求上报资金使用计划，并在实施过程中做到资金专项专用。所有支出严格按照财务会计管理规定，做到资金使用有计划、审批有手续、支出合理规范。并及时进行账务处理和会计核算。</w:t>
      </w:r>
    </w:p>
    <w:p w14:paraId="3A9E30C0">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4.</w:t>
      </w:r>
      <w:r>
        <w:rPr>
          <w:rFonts w:hint="default" w:ascii="Times New Roman" w:hAnsi="Times New Roman" w:eastAsia="楷体_GB2312" w:cs="Times New Roman"/>
          <w:color w:val="000000"/>
          <w:kern w:val="0"/>
          <w:sz w:val="32"/>
          <w:szCs w:val="32"/>
          <w:shd w:val="clear" w:color="auto" w:fill="FFFFFF"/>
          <w:lang w:val="zh-CN"/>
        </w:rPr>
        <w:t>资产管理。</w:t>
      </w:r>
    </w:p>
    <w:p w14:paraId="376E47C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攀枝花市社会保险事务中心无资产超最低使用年限的情况，无闲置一年以上的资产。</w:t>
      </w:r>
    </w:p>
    <w:p w14:paraId="7D289780">
      <w:pPr>
        <w:keepNext w:val="0"/>
        <w:keepLines w:val="0"/>
        <w:pageBreakBefore w:val="0"/>
        <w:numPr>
          <w:ilvl w:val="0"/>
          <w:numId w:val="0"/>
        </w:numPr>
        <w:kinsoku/>
        <w:wordWrap/>
        <w:overflowPunct/>
        <w:topLinePunct w:val="0"/>
        <w:autoSpaceDE/>
        <w:autoSpaceDN/>
        <w:bidi w:val="0"/>
        <w:adjustRightInd w:val="0"/>
        <w:snapToGrid w:val="0"/>
        <w:spacing w:line="600" w:lineRule="exact"/>
        <w:ind w:leftChars="200" w:firstLine="320" w:firstLineChars="100"/>
        <w:contextualSpacing/>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en-US" w:eastAsia="zh-CN"/>
        </w:rPr>
        <w:t>5.</w:t>
      </w:r>
      <w:r>
        <w:rPr>
          <w:rFonts w:hint="default" w:ascii="Times New Roman" w:hAnsi="Times New Roman" w:eastAsia="楷体_GB2312" w:cs="Times New Roman"/>
          <w:color w:val="000000"/>
          <w:kern w:val="0"/>
          <w:sz w:val="32"/>
          <w:szCs w:val="32"/>
          <w:shd w:val="clear" w:color="auto" w:fill="FFFFFF"/>
          <w:lang w:val="zh-CN"/>
        </w:rPr>
        <w:t>采购管理。</w:t>
      </w:r>
    </w:p>
    <w:p w14:paraId="63BCC3C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攀枝花市社会保险事务中心按规定进行政府采购，严格执行政府采购促进中小企业发展相关管理办法。</w:t>
      </w:r>
    </w:p>
    <w:p w14:paraId="4369F09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cs="Times New Roman"/>
          <w:color w:val="000000"/>
          <w:kern w:val="0"/>
          <w:sz w:val="32"/>
          <w:szCs w:val="32"/>
          <w:shd w:val="clear" w:color="auto" w:fill="FFFFFF"/>
        </w:rPr>
      </w:pPr>
      <w:r>
        <w:rPr>
          <w:rFonts w:hint="default" w:ascii="Times New Roman" w:hAnsi="Times New Roman" w:eastAsia="楷体_GB2312" w:cs="Times New Roman"/>
          <w:b/>
          <w:bCs/>
          <w:color w:val="000000"/>
          <w:kern w:val="0"/>
          <w:sz w:val="32"/>
          <w:szCs w:val="32"/>
          <w:shd w:val="clear" w:color="auto" w:fill="FFFFFF"/>
          <w:lang w:val="zh-CN"/>
        </w:rPr>
        <w:t>（二）部门预算项目绩效分析</w:t>
      </w:r>
    </w:p>
    <w:p w14:paraId="5F84D4A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常年项目绩效分析。该类项目总数</w:t>
      </w: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个，涉及预算总金额</w:t>
      </w:r>
      <w:r>
        <w:rPr>
          <w:rFonts w:hint="default" w:ascii="Times New Roman" w:hAnsi="Times New Roman" w:eastAsia="仿宋_GB2312" w:cs="Times New Roman"/>
          <w:color w:val="auto"/>
          <w:kern w:val="0"/>
          <w:sz w:val="32"/>
          <w:szCs w:val="32"/>
          <w:lang w:val="en-US" w:eastAsia="zh-CN" w:bidi="ar-SA"/>
        </w:rPr>
        <w:t>104.28</w:t>
      </w:r>
      <w:r>
        <w:rPr>
          <w:rFonts w:hint="default" w:ascii="Times New Roman" w:hAnsi="Times New Roman" w:eastAsia="仿宋_GB2312" w:cs="Times New Roman"/>
          <w:color w:val="auto"/>
          <w:kern w:val="0"/>
          <w:sz w:val="32"/>
          <w:szCs w:val="32"/>
          <w:lang w:val="zh-CN" w:eastAsia="zh-CN" w:bidi="ar-SA"/>
        </w:rPr>
        <w:t>万元，1—12月预算执行总体进度为</w:t>
      </w:r>
      <w:r>
        <w:rPr>
          <w:rFonts w:hint="default" w:ascii="Times New Roman" w:hAnsi="Times New Roman" w:eastAsia="仿宋_GB2312" w:cs="Times New Roman"/>
          <w:color w:val="auto"/>
          <w:kern w:val="0"/>
          <w:sz w:val="32"/>
          <w:szCs w:val="32"/>
          <w:lang w:val="en-US" w:eastAsia="zh-CN" w:bidi="ar-SA"/>
        </w:rPr>
        <w:t>100</w:t>
      </w:r>
      <w:r>
        <w:rPr>
          <w:rFonts w:hint="default" w:ascii="Times New Roman" w:hAnsi="Times New Roman" w:eastAsia="仿宋_GB2312" w:cs="Times New Roman"/>
          <w:color w:val="auto"/>
          <w:kern w:val="0"/>
          <w:sz w:val="32"/>
          <w:szCs w:val="32"/>
          <w:lang w:val="zh-CN" w:eastAsia="zh-CN" w:bidi="ar-SA"/>
        </w:rPr>
        <w:t>%，其中：预算结余率大于10%的项目共计</w:t>
      </w:r>
      <w:r>
        <w:rPr>
          <w:rFonts w:hint="default" w:ascii="Times New Roman" w:hAnsi="Times New Roman" w:eastAsia="仿宋_GB2312" w:cs="Times New Roman"/>
          <w:color w:val="auto"/>
          <w:kern w:val="0"/>
          <w:sz w:val="32"/>
          <w:szCs w:val="32"/>
          <w:lang w:val="en-US" w:eastAsia="zh-CN" w:bidi="ar-SA"/>
        </w:rPr>
        <w:t>0</w:t>
      </w:r>
      <w:r>
        <w:rPr>
          <w:rFonts w:hint="default" w:ascii="Times New Roman" w:hAnsi="Times New Roman" w:eastAsia="仿宋_GB2312" w:cs="Times New Roman"/>
          <w:color w:val="auto"/>
          <w:kern w:val="0"/>
          <w:sz w:val="32"/>
          <w:szCs w:val="32"/>
          <w:lang w:val="zh-CN" w:eastAsia="zh-CN" w:bidi="ar-SA"/>
        </w:rPr>
        <w:t>个。</w:t>
      </w:r>
    </w:p>
    <w:p w14:paraId="59C283E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1.</w:t>
      </w:r>
      <w:r>
        <w:rPr>
          <w:rFonts w:hint="default" w:ascii="Times New Roman" w:hAnsi="Times New Roman" w:eastAsia="仿宋_GB2312" w:cs="Times New Roman"/>
          <w:color w:val="auto"/>
          <w:kern w:val="0"/>
          <w:sz w:val="32"/>
          <w:szCs w:val="32"/>
          <w:lang w:val="zh-CN" w:eastAsia="zh-CN" w:bidi="ar-SA"/>
        </w:rPr>
        <w:t>项目决策。</w:t>
      </w:r>
    </w:p>
    <w:p w14:paraId="4C4080AD">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项目设立、调整延续等方面符合资金管理基本规范和决策程序要求，项目规划论证符合中省要求，项目绩效目标设置科学合理，属于政府支持范围，且符合财政事权支出责任划分规定，资金投向与项目总体规划、相关行业事业发展相匹配，项目制度办法体系健全、要素完备。</w:t>
      </w:r>
    </w:p>
    <w:p w14:paraId="0AF5A21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2.</w:t>
      </w:r>
      <w:r>
        <w:rPr>
          <w:rFonts w:hint="default" w:ascii="Times New Roman" w:hAnsi="Times New Roman" w:eastAsia="仿宋_GB2312" w:cs="Times New Roman"/>
          <w:color w:val="auto"/>
          <w:kern w:val="0"/>
          <w:sz w:val="32"/>
          <w:szCs w:val="32"/>
          <w:lang w:val="zh-CN" w:eastAsia="zh-CN" w:bidi="ar-SA"/>
        </w:rPr>
        <w:t>项目执行。</w:t>
      </w:r>
    </w:p>
    <w:p w14:paraId="18593ABF">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预算执行过程严把审核关口，强化资金监督使用，确保项目资金专款专用。对预算执行进度缓慢的项目，督促并加快资金执行进度。资金执行进度100%。</w:t>
      </w:r>
    </w:p>
    <w:p w14:paraId="10D08AD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zh-CN" w:eastAsia="zh-CN" w:bidi="ar-SA"/>
        </w:rPr>
        <w:t>目标实现。</w:t>
      </w:r>
    </w:p>
    <w:p w14:paraId="2362741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en-US" w:eastAsia="zh-CN" w:bidi="ar-SA"/>
        </w:rPr>
        <w:t>攀枝花市社会保险事务中心</w:t>
      </w:r>
      <w:r>
        <w:rPr>
          <w:rFonts w:hint="default" w:ascii="Times New Roman" w:hAnsi="Times New Roman" w:eastAsia="仿宋_GB2312" w:cs="Times New Roman"/>
          <w:color w:val="auto"/>
          <w:kern w:val="0"/>
          <w:sz w:val="32"/>
          <w:szCs w:val="32"/>
          <w:lang w:val="zh-CN" w:eastAsia="zh-CN" w:bidi="ar-SA"/>
        </w:rPr>
        <w:t>紧紧围绕</w:t>
      </w:r>
      <w:r>
        <w:rPr>
          <w:rFonts w:hint="default" w:ascii="Times New Roman" w:hAnsi="Times New Roman" w:eastAsia="仿宋_GB2312" w:cs="Times New Roman"/>
          <w:color w:val="auto"/>
          <w:kern w:val="0"/>
          <w:sz w:val="32"/>
          <w:szCs w:val="32"/>
          <w:lang w:val="en-US" w:eastAsia="zh-CN" w:bidi="ar-SA"/>
        </w:rPr>
        <w:t>年度</w:t>
      </w:r>
      <w:r>
        <w:rPr>
          <w:rFonts w:hint="default" w:ascii="Times New Roman" w:hAnsi="Times New Roman" w:eastAsia="仿宋_GB2312" w:cs="Times New Roman"/>
          <w:color w:val="auto"/>
          <w:kern w:val="0"/>
          <w:sz w:val="32"/>
          <w:szCs w:val="32"/>
          <w:lang w:val="zh-CN" w:eastAsia="zh-CN" w:bidi="ar-SA"/>
        </w:rPr>
        <w:t>目标任务和重点工作，按照财政部门预算绩效管理相关规定，结合实际从数量、质量、成本和时效等方面细化绩效指标，注重绩效目标符合客观实际，以定量方式表述，绩效目标设置科学。积极推进预算绩效运行管理，开展事中绩效监控，确保绩效目标实现。2024年度一般公共预算中工资、五险一金等人员支出保障了职工正常待遇按月发放；办公费、水电费、差旅费等日常开支，保障了中心日常办公和人员运转支出。202</w:t>
      </w:r>
      <w:r>
        <w:rPr>
          <w:rFonts w:hint="default" w:ascii="Times New Roman" w:hAnsi="Times New Roman" w:eastAsia="仿宋_GB2312" w:cs="Times New Roman"/>
          <w:color w:val="auto"/>
          <w:kern w:val="0"/>
          <w:sz w:val="32"/>
          <w:szCs w:val="32"/>
          <w:lang w:val="en-US" w:eastAsia="zh-CN" w:bidi="ar-SA"/>
        </w:rPr>
        <w:t>4</w:t>
      </w:r>
      <w:r>
        <w:rPr>
          <w:rFonts w:hint="default" w:ascii="Times New Roman" w:hAnsi="Times New Roman" w:eastAsia="仿宋_GB2312" w:cs="Times New Roman"/>
          <w:color w:val="auto"/>
          <w:kern w:val="0"/>
          <w:sz w:val="32"/>
          <w:szCs w:val="32"/>
          <w:lang w:val="zh-CN" w:eastAsia="zh-CN" w:bidi="ar-SA"/>
        </w:rPr>
        <w:t>年完成项目资金支付，达到预期目标。</w:t>
      </w:r>
    </w:p>
    <w:p w14:paraId="7203AAB6">
      <w:pPr>
        <w:keepNext w:val="0"/>
        <w:keepLines w:val="0"/>
        <w:pageBreakBefore w:val="0"/>
        <w:numPr>
          <w:ilvl w:val="0"/>
          <w:numId w:val="0"/>
        </w:numPr>
        <w:kinsoku/>
        <w:wordWrap/>
        <w:overflowPunct/>
        <w:topLinePunct w:val="0"/>
        <w:autoSpaceDE/>
        <w:autoSpaceDN/>
        <w:bidi w:val="0"/>
        <w:snapToGrid w:val="0"/>
        <w:spacing w:line="600" w:lineRule="exact"/>
        <w:ind w:leftChars="200"/>
        <w:textAlignment w:val="auto"/>
        <w:rPr>
          <w:rFonts w:hint="default" w:ascii="Times New Roman" w:hAnsi="Times New Roman" w:eastAsia="楷体_GB2312" w:cs="Times New Roman"/>
          <w:b/>
          <w:bCs/>
          <w:sz w:val="32"/>
          <w:szCs w:val="32"/>
          <w:lang w:val="zh-CN"/>
        </w:rPr>
      </w:pPr>
      <w:r>
        <w:rPr>
          <w:rFonts w:hint="eastAsia" w:ascii="Times New Roman" w:hAnsi="Times New Roman" w:eastAsia="楷体_GB2312" w:cs="Times New Roman"/>
          <w:b/>
          <w:bCs/>
          <w:sz w:val="32"/>
          <w:szCs w:val="32"/>
          <w:lang w:val="zh-CN"/>
        </w:rPr>
        <w:t>（</w:t>
      </w:r>
      <w:r>
        <w:rPr>
          <w:rFonts w:hint="eastAsia" w:ascii="Times New Roman" w:hAnsi="Times New Roman" w:eastAsia="楷体_GB2312" w:cs="Times New Roman"/>
          <w:b/>
          <w:bCs/>
          <w:sz w:val="32"/>
          <w:szCs w:val="32"/>
          <w:lang w:val="en-US" w:eastAsia="zh-CN"/>
        </w:rPr>
        <w:t>三</w:t>
      </w:r>
      <w:r>
        <w:rPr>
          <w:rFonts w:hint="eastAsia" w:ascii="Times New Roman" w:hAnsi="Times New Roman" w:eastAsia="楷体_GB2312" w:cs="Times New Roman"/>
          <w:b/>
          <w:bCs/>
          <w:sz w:val="32"/>
          <w:szCs w:val="32"/>
          <w:lang w:val="zh-CN"/>
        </w:rPr>
        <w:t>）</w:t>
      </w:r>
      <w:r>
        <w:rPr>
          <w:rFonts w:hint="default" w:ascii="Times New Roman" w:hAnsi="Times New Roman" w:eastAsia="楷体_GB2312" w:cs="Times New Roman"/>
          <w:b/>
          <w:bCs/>
          <w:sz w:val="32"/>
          <w:szCs w:val="32"/>
          <w:lang w:val="zh-CN"/>
        </w:rPr>
        <w:t>绩效结果应用情况</w:t>
      </w:r>
    </w:p>
    <w:p w14:paraId="41E41D0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攀枝花市</w:t>
      </w:r>
      <w:r>
        <w:rPr>
          <w:rFonts w:hint="default" w:ascii="Times New Roman" w:hAnsi="Times New Roman" w:eastAsia="仿宋_GB2312" w:cs="Times New Roman"/>
          <w:color w:val="auto"/>
          <w:kern w:val="0"/>
          <w:sz w:val="32"/>
          <w:szCs w:val="32"/>
          <w:lang w:val="en-US" w:eastAsia="zh-CN" w:bidi="ar-SA"/>
        </w:rPr>
        <w:t>社会保险事务中心</w:t>
      </w:r>
      <w:r>
        <w:rPr>
          <w:rFonts w:hint="default" w:ascii="Times New Roman" w:hAnsi="Times New Roman" w:eastAsia="仿宋_GB2312" w:cs="Times New Roman"/>
          <w:color w:val="auto"/>
          <w:kern w:val="0"/>
          <w:sz w:val="32"/>
          <w:szCs w:val="32"/>
          <w:lang w:val="zh-CN" w:eastAsia="zh-CN" w:bidi="ar-SA"/>
        </w:rPr>
        <w:t>将实际完成数和年度指标值进行对比分析，对预算指标进行合理评估，科学、合理的编制部门预算，提高资金使用效率，绩效自评结果拟在我中心网站公示公开。</w:t>
      </w:r>
    </w:p>
    <w:p w14:paraId="3310F69A">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黑体" w:cs="Times New Roman"/>
          <w:color w:val="000000"/>
          <w:kern w:val="0"/>
          <w:sz w:val="32"/>
          <w:szCs w:val="32"/>
          <w:shd w:val="clear" w:color="auto" w:fill="FFFFFF"/>
        </w:rPr>
      </w:pPr>
      <w:r>
        <w:rPr>
          <w:rFonts w:hint="default" w:ascii="Times New Roman" w:hAnsi="Times New Roman" w:eastAsia="黑体" w:cs="Times New Roman"/>
          <w:color w:val="000000"/>
          <w:kern w:val="0"/>
          <w:sz w:val="32"/>
          <w:szCs w:val="32"/>
          <w:shd w:val="clear" w:color="auto" w:fill="FFFFFF"/>
        </w:rPr>
        <w:t>四、评价结论及建议</w:t>
      </w:r>
    </w:p>
    <w:p w14:paraId="2DABBAB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（一）评价结论</w:t>
      </w:r>
    </w:p>
    <w:p w14:paraId="3242B36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202</w:t>
      </w:r>
      <w:r>
        <w:rPr>
          <w:rFonts w:hint="default" w:ascii="Times New Roman" w:hAnsi="Times New Roman" w:eastAsia="仿宋_GB2312" w:cs="Times New Roman"/>
          <w:color w:val="auto"/>
          <w:kern w:val="0"/>
          <w:sz w:val="32"/>
          <w:szCs w:val="32"/>
          <w:lang w:val="en-US" w:eastAsia="zh-CN" w:bidi="ar-SA"/>
        </w:rPr>
        <w:t>4</w:t>
      </w:r>
      <w:r>
        <w:rPr>
          <w:rFonts w:hint="default" w:ascii="Times New Roman" w:hAnsi="Times New Roman" w:eastAsia="仿宋_GB2312" w:cs="Times New Roman"/>
          <w:color w:val="auto"/>
          <w:kern w:val="0"/>
          <w:sz w:val="32"/>
          <w:szCs w:val="32"/>
          <w:lang w:val="zh-CN" w:eastAsia="zh-CN" w:bidi="ar-SA"/>
        </w:rPr>
        <w:t>年，攀枝花市社会保险事务中心着力推进社保改革任务落地落实、公共服务提质增效、运行管理提档升级、严防风险确保基金安全，推动全市社保经办事业高质量、可持续发展。扎实开展社保经办工作，不断提升人民群众获得感、幸福感和安全感，各项工作成效显著。继续确保各项社会保险待遇的按时足额发放和支付，维护参保人员合法权益，调整增加各类退休人员基本养老金，积极完善工伤保险信息系统功能，做好工伤保险预防工作，全面完成年初预算绩效目标及省级下达的目标任务。</w:t>
      </w:r>
    </w:p>
    <w:p w14:paraId="0DD4F5B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（二）存在问题</w:t>
      </w:r>
    </w:p>
    <w:p w14:paraId="60AA2259">
      <w:pPr>
        <w:keepNext w:val="0"/>
        <w:keepLines w:val="0"/>
        <w:pageBreakBefore w:val="0"/>
        <w:widowControl/>
        <w:kinsoku/>
        <w:wordWrap/>
        <w:overflowPunct/>
        <w:topLinePunct w:val="0"/>
        <w:autoSpaceDE/>
        <w:autoSpaceDN/>
        <w:bidi w:val="0"/>
        <w:adjustRightInd w:val="0"/>
        <w:snapToGrid w:val="0"/>
        <w:spacing w:line="600" w:lineRule="exact"/>
        <w:ind w:firstLine="960" w:firstLineChars="3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无。</w:t>
      </w:r>
    </w:p>
    <w:p w14:paraId="4C2A466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Times New Roman" w:hAnsi="Times New Roman" w:eastAsia="楷体_GB2312" w:cs="Times New Roman"/>
          <w:b/>
          <w:bCs/>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shd w:val="clear" w:color="auto" w:fill="FFFFFF"/>
          <w:lang w:val="zh-CN"/>
        </w:rPr>
        <w:t>（三）改进建议</w:t>
      </w:r>
      <w:bookmarkStart w:id="53" w:name="_Hlk110546638"/>
    </w:p>
    <w:bookmarkEnd w:id="53"/>
    <w:p w14:paraId="41F5D42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both"/>
        <w:textAlignment w:val="auto"/>
        <w:rPr>
          <w:rFonts w:hint="default" w:ascii="Times New Roman" w:hAnsi="Times New Roman" w:eastAsia="仿宋_GB2312" w:cs="Times New Roman"/>
          <w:color w:val="auto"/>
          <w:kern w:val="0"/>
          <w:sz w:val="32"/>
          <w:szCs w:val="32"/>
          <w:lang w:val="zh-CN" w:eastAsia="zh-CN" w:bidi="ar-SA"/>
        </w:rPr>
      </w:pPr>
      <w:r>
        <w:rPr>
          <w:rFonts w:hint="default" w:ascii="Times New Roman" w:hAnsi="Times New Roman" w:eastAsia="仿宋_GB2312" w:cs="Times New Roman"/>
          <w:color w:val="auto"/>
          <w:kern w:val="0"/>
          <w:sz w:val="32"/>
          <w:szCs w:val="32"/>
          <w:lang w:val="zh-CN" w:eastAsia="zh-CN" w:bidi="ar-SA"/>
        </w:rPr>
        <w:t>在今后的工作中，我中心将加强与财政部门的紧密配合，开展好整体支出及项日资金绩效管理工作，运用好绩效评价的结果，不断提升预算管理水平。</w:t>
      </w:r>
    </w:p>
    <w:p w14:paraId="3CA1E566">
      <w:pPr>
        <w:pStyle w:val="7"/>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kern w:val="2"/>
          <w:sz w:val="32"/>
          <w:szCs w:val="32"/>
          <w:u w:val="none"/>
          <w:lang w:val="zh-CN" w:eastAsia="zh-CN" w:bidi="ar"/>
        </w:rPr>
      </w:pPr>
      <w:r>
        <w:rPr>
          <w:rFonts w:hint="default" w:ascii="Times New Roman" w:hAnsi="Times New Roman" w:eastAsia="仿宋_GB2312" w:cs="Times New Roman"/>
          <w:kern w:val="2"/>
          <w:sz w:val="32"/>
          <w:szCs w:val="32"/>
          <w:u w:val="none"/>
          <w:lang w:val="zh-CN" w:eastAsia="zh-CN" w:bidi="ar"/>
        </w:rPr>
        <w:t>附表：</w:t>
      </w:r>
      <w:r>
        <w:rPr>
          <w:rFonts w:hint="default" w:ascii="Times New Roman" w:hAnsi="Times New Roman" w:eastAsia="仿宋_GB2312" w:cs="Times New Roman"/>
          <w:kern w:val="2"/>
          <w:sz w:val="32"/>
          <w:szCs w:val="32"/>
          <w:u w:val="none"/>
          <w:lang w:val="en-US" w:eastAsia="zh-CN" w:bidi="ar"/>
        </w:rPr>
        <w:t>部门预算项目支出绩效自评表（2024年度）</w:t>
      </w:r>
    </w:p>
    <w:tbl>
      <w:tblPr>
        <w:tblStyle w:val="18"/>
        <w:tblW w:w="9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756"/>
        <w:gridCol w:w="760"/>
        <w:gridCol w:w="1354"/>
        <w:gridCol w:w="743"/>
        <w:gridCol w:w="891"/>
        <w:gridCol w:w="744"/>
        <w:gridCol w:w="891"/>
        <w:gridCol w:w="750"/>
        <w:gridCol w:w="750"/>
        <w:gridCol w:w="745"/>
      </w:tblGrid>
      <w:tr w14:paraId="56185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trPr>
        <w:tc>
          <w:tcPr>
            <w:tcW w:w="914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8A41ADC">
            <w:pPr>
              <w:keepNext w:val="0"/>
              <w:keepLines w:val="0"/>
              <w:widowControl/>
              <w:suppressLineNumbers w:val="0"/>
              <w:jc w:val="center"/>
              <w:textAlignment w:val="center"/>
              <w:rPr>
                <w:rFonts w:hint="default" w:ascii="Times New Roman" w:hAnsi="Times New Roman" w:eastAsia="黑体" w:cs="Times New Roman"/>
                <w:b/>
                <w:bCs/>
                <w:i w:val="0"/>
                <w:iCs w:val="0"/>
                <w:color w:val="000000"/>
                <w:sz w:val="30"/>
                <w:szCs w:val="30"/>
                <w:u w:val="none"/>
              </w:rPr>
            </w:pPr>
            <w:r>
              <w:rPr>
                <w:rFonts w:hint="default" w:ascii="Times New Roman" w:hAnsi="Times New Roman" w:eastAsia="黑体" w:cs="Times New Roman"/>
                <w:b/>
                <w:bCs/>
                <w:i w:val="0"/>
                <w:iCs w:val="0"/>
                <w:color w:val="000000"/>
                <w:kern w:val="0"/>
                <w:sz w:val="30"/>
                <w:szCs w:val="30"/>
                <w:u w:val="none"/>
                <w:lang w:val="en-US" w:eastAsia="zh-CN" w:bidi="ar"/>
              </w:rPr>
              <w:t>部门预算项目支出绩效自评表（2024年度）</w:t>
            </w:r>
          </w:p>
        </w:tc>
      </w:tr>
      <w:tr w14:paraId="43EE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15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453E0">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项目名称</w:t>
            </w:r>
          </w:p>
        </w:tc>
        <w:tc>
          <w:tcPr>
            <w:tcW w:w="759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6A32836">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51040023T000008702195-入驻政务中心单位租金、物业费及水电费</w:t>
            </w:r>
          </w:p>
        </w:tc>
      </w:tr>
      <w:tr w14:paraId="1BCDF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5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441A6">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主管部门</w:t>
            </w:r>
          </w:p>
        </w:tc>
        <w:tc>
          <w:tcPr>
            <w:tcW w:w="45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988C65">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c>
          <w:tcPr>
            <w:tcW w:w="772" w:type="dxa"/>
            <w:tcBorders>
              <w:top w:val="nil"/>
              <w:left w:val="nil"/>
              <w:bottom w:val="nil"/>
              <w:right w:val="nil"/>
            </w:tcBorders>
            <w:shd w:val="clear" w:color="auto" w:fill="auto"/>
            <w:vAlign w:val="center"/>
          </w:tcPr>
          <w:p w14:paraId="6F8D9688">
            <w:pPr>
              <w:keepNext w:val="0"/>
              <w:keepLines w:val="0"/>
              <w:widowControl/>
              <w:suppressLineNumbers w:val="0"/>
              <w:jc w:val="left"/>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实施单位 （盖章）</w:t>
            </w:r>
          </w:p>
        </w:tc>
        <w:tc>
          <w:tcPr>
            <w:tcW w:w="2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D23F9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r>
      <w:tr w14:paraId="2F6D4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4E05F6">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项目基本情况</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53453">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1.项目年度目标完成情况</w:t>
            </w:r>
          </w:p>
        </w:tc>
        <w:tc>
          <w:tcPr>
            <w:tcW w:w="45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6A84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项目年度目标</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67C2BF">
            <w:pPr>
              <w:keepNext w:val="0"/>
              <w:keepLines w:val="0"/>
              <w:widowControl/>
              <w:suppressLineNumbers w:val="0"/>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年度目标完成情况</w:t>
            </w:r>
          </w:p>
        </w:tc>
      </w:tr>
      <w:tr w14:paraId="79AFD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92F2B">
            <w:pP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4090E">
            <w:pPr>
              <w:rPr>
                <w:rFonts w:hint="default" w:ascii="Times New Roman" w:hAnsi="Times New Roman" w:eastAsia="宋体" w:cs="Times New Roman"/>
                <w:i w:val="0"/>
                <w:iCs w:val="0"/>
                <w:color w:val="000000"/>
                <w:sz w:val="18"/>
                <w:szCs w:val="18"/>
                <w:u w:val="none"/>
              </w:rPr>
            </w:pPr>
          </w:p>
        </w:tc>
        <w:tc>
          <w:tcPr>
            <w:tcW w:w="45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9265E7">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入驻政务中心单位租金、物业费及水电费</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2EF67A">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完成支付2024年入驻政务中心单位租金、物业费及水电费79.79万元，保障单位正常运转。</w:t>
            </w:r>
          </w:p>
        </w:tc>
      </w:tr>
      <w:tr w14:paraId="33A58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2AB24">
            <w:pP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C2732">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2.项目实施内容及过程概述</w:t>
            </w:r>
          </w:p>
        </w:tc>
        <w:tc>
          <w:tcPr>
            <w:tcW w:w="759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EA2F270">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按规定足额缴纳入驻政务中心单位租金、物业费及水电费。</w:t>
            </w:r>
          </w:p>
        </w:tc>
      </w:tr>
      <w:tr w14:paraId="3A9FC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A48F3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预算执行情况（10分）</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D2E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年度预算数（万元）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A0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年初预算</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F0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调整后预算数</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2B093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C85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85C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26C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400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原因</w:t>
            </w:r>
          </w:p>
        </w:tc>
      </w:tr>
      <w:tr w14:paraId="19F57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C5B38">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6456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总额</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4AE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89F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E111D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E4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8AF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4BF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504123">
            <w:pPr>
              <w:rPr>
                <w:rFonts w:hint="default" w:ascii="Times New Roman" w:hAnsi="Times New Roman" w:eastAsia="黑体" w:cs="Times New Roman"/>
                <w:i w:val="0"/>
                <w:iCs w:val="0"/>
                <w:color w:val="000000"/>
                <w:sz w:val="18"/>
                <w:szCs w:val="18"/>
                <w:u w:val="none"/>
              </w:rPr>
            </w:pPr>
          </w:p>
        </w:tc>
      </w:tr>
      <w:tr w14:paraId="1A94A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3006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EC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其中：财政资金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CD5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34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8229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79.79</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67A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90F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F1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5437B">
            <w:pPr>
              <w:rPr>
                <w:rFonts w:hint="default" w:ascii="Times New Roman" w:hAnsi="Times New Roman" w:eastAsia="黑体" w:cs="Times New Roman"/>
                <w:i w:val="0"/>
                <w:iCs w:val="0"/>
                <w:color w:val="000000"/>
                <w:sz w:val="18"/>
                <w:szCs w:val="18"/>
                <w:u w:val="none"/>
              </w:rPr>
            </w:pPr>
          </w:p>
        </w:tc>
      </w:tr>
      <w:tr w14:paraId="6B09F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E8E70">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690C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财政专户管理资金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B1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183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D73AB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152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A0E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425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D97A6">
            <w:pPr>
              <w:rPr>
                <w:rFonts w:hint="default" w:ascii="Times New Roman" w:hAnsi="Times New Roman" w:eastAsia="黑体" w:cs="Times New Roman"/>
                <w:i w:val="0"/>
                <w:iCs w:val="0"/>
                <w:color w:val="000000"/>
                <w:sz w:val="18"/>
                <w:szCs w:val="18"/>
                <w:u w:val="none"/>
              </w:rPr>
            </w:pPr>
          </w:p>
        </w:tc>
      </w:tr>
      <w:tr w14:paraId="080A3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EA634">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94B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F3A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63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7D79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C2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4A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26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0F569">
            <w:pPr>
              <w:rPr>
                <w:rFonts w:hint="default" w:ascii="Times New Roman" w:hAnsi="Times New Roman" w:eastAsia="黑体" w:cs="Times New Roman"/>
                <w:i w:val="0"/>
                <w:iCs w:val="0"/>
                <w:color w:val="000000"/>
                <w:sz w:val="18"/>
                <w:szCs w:val="18"/>
                <w:u w:val="none"/>
              </w:rPr>
            </w:pPr>
          </w:p>
        </w:tc>
      </w:tr>
      <w:tr w14:paraId="3AB80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361E5">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5CE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513CA">
            <w:pPr>
              <w:jc w:val="center"/>
              <w:rPr>
                <w:rFonts w:hint="default" w:ascii="Times New Roman" w:hAnsi="Times New Roman" w:eastAsia="微软雅黑" w:cs="Times New Roman"/>
                <w:i/>
                <w:iCs/>
                <w:color w:val="000000"/>
                <w:sz w:val="16"/>
                <w:szCs w:val="16"/>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4721">
            <w:pPr>
              <w:jc w:val="center"/>
              <w:rPr>
                <w:rFonts w:hint="default" w:ascii="Times New Roman" w:hAnsi="Times New Roman" w:eastAsia="微软雅黑" w:cs="Times New Roman"/>
                <w:i/>
                <w:iCs/>
                <w:color w:val="000000"/>
                <w:sz w:val="16"/>
                <w:szCs w:val="16"/>
                <w:u w:val="none"/>
              </w:rPr>
            </w:pPr>
          </w:p>
        </w:tc>
        <w:tc>
          <w:tcPr>
            <w:tcW w:w="2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155E2B">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86D6">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D99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BFE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C61C4">
            <w:pPr>
              <w:rPr>
                <w:rFonts w:hint="default" w:ascii="Times New Roman" w:hAnsi="Times New Roman" w:eastAsia="黑体" w:cs="Times New Roman"/>
                <w:i w:val="0"/>
                <w:iCs w:val="0"/>
                <w:color w:val="000000"/>
                <w:sz w:val="18"/>
                <w:szCs w:val="18"/>
                <w:u w:val="none"/>
              </w:rPr>
            </w:pPr>
          </w:p>
        </w:tc>
      </w:tr>
      <w:tr w14:paraId="29D3F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AC8F9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绩效指标（90分）</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0B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49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二级指标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2D7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三级指标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4F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指标性质</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9C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指标值</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CD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度量单位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2F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完成值</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FC25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1DB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0EC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未完成原因分析</w:t>
            </w:r>
          </w:p>
        </w:tc>
      </w:tr>
      <w:tr w14:paraId="19EE9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0B68C2">
            <w:pPr>
              <w:jc w:val="center"/>
              <w:rPr>
                <w:rFonts w:hint="default" w:ascii="Times New Roman" w:hAnsi="Times New Roman" w:eastAsia="宋体" w:cs="Times New Roman"/>
                <w:i w:val="0"/>
                <w:iCs w:val="0"/>
                <w:color w:val="000000"/>
                <w:sz w:val="18"/>
                <w:szCs w:val="18"/>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16CF0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产出指标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D35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数量指标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DA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入驻政务中心单位租金、物业费及水电费</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9D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485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04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元/年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374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2A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F5D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6E16">
            <w:pPr>
              <w:jc w:val="center"/>
              <w:rPr>
                <w:rFonts w:hint="default" w:ascii="Times New Roman" w:hAnsi="Times New Roman" w:eastAsia="微软雅黑" w:cs="Times New Roman"/>
                <w:i/>
                <w:iCs/>
                <w:color w:val="000000"/>
                <w:sz w:val="16"/>
                <w:szCs w:val="16"/>
                <w:u w:val="none"/>
              </w:rPr>
            </w:pPr>
          </w:p>
        </w:tc>
      </w:tr>
      <w:tr w14:paraId="570AE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BD13C">
            <w:pPr>
              <w:jc w:val="cente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5DA75">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95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质量指标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D3B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按时缴纳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F33C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5C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全额缴纳</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EC4C">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1DE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全额缴纳</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AA8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3E25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C057">
            <w:pPr>
              <w:jc w:val="center"/>
              <w:rPr>
                <w:rFonts w:hint="default" w:ascii="Times New Roman" w:hAnsi="Times New Roman" w:eastAsia="微软雅黑" w:cs="Times New Roman"/>
                <w:i/>
                <w:iCs/>
                <w:color w:val="000000"/>
                <w:sz w:val="16"/>
                <w:szCs w:val="16"/>
                <w:u w:val="none"/>
              </w:rPr>
            </w:pPr>
          </w:p>
        </w:tc>
      </w:tr>
      <w:tr w14:paraId="27011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FD0B6">
            <w:pPr>
              <w:jc w:val="cente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3A8C4">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CC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时效指标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F3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完成时间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871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56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D85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1F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1年内完成</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75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E4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B924B">
            <w:pPr>
              <w:jc w:val="center"/>
              <w:rPr>
                <w:rFonts w:hint="default" w:ascii="Times New Roman" w:hAnsi="Times New Roman" w:eastAsia="微软雅黑" w:cs="Times New Roman"/>
                <w:i/>
                <w:iCs/>
                <w:color w:val="000000"/>
                <w:sz w:val="16"/>
                <w:szCs w:val="16"/>
                <w:u w:val="none"/>
              </w:rPr>
            </w:pPr>
          </w:p>
        </w:tc>
      </w:tr>
      <w:tr w14:paraId="63F8D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A365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6858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效益指标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17F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社会效益指标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4C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保障单位正常运转</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A6BB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EBA6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良好</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370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5DF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良好</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A6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F4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49CD">
            <w:pPr>
              <w:jc w:val="center"/>
              <w:rPr>
                <w:rFonts w:hint="default" w:ascii="Times New Roman" w:hAnsi="Times New Roman" w:eastAsia="微软雅黑" w:cs="Times New Roman"/>
                <w:i/>
                <w:iCs/>
                <w:color w:val="000000"/>
                <w:sz w:val="16"/>
                <w:szCs w:val="16"/>
                <w:u w:val="none"/>
              </w:rPr>
            </w:pPr>
          </w:p>
        </w:tc>
      </w:tr>
      <w:tr w14:paraId="11919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0502F">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2F2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满意度指标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F4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服务对象满意度指标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BE1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物业公司</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E10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77AD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6635E">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F4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D6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E0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0A0B4">
            <w:pPr>
              <w:jc w:val="center"/>
              <w:rPr>
                <w:rFonts w:hint="default" w:ascii="Times New Roman" w:hAnsi="Times New Roman" w:eastAsia="微软雅黑" w:cs="Times New Roman"/>
                <w:i/>
                <w:iCs/>
                <w:color w:val="000000"/>
                <w:sz w:val="16"/>
                <w:szCs w:val="16"/>
                <w:u w:val="none"/>
              </w:rPr>
            </w:pPr>
          </w:p>
        </w:tc>
      </w:tr>
      <w:tr w14:paraId="16D8D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F67B4">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C3A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成本指标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52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经济成本指标</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D92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入驻政务中心单位租金、物业费及水电费</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39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B0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EB5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元/年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67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797876.4元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9F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C51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6653">
            <w:pPr>
              <w:jc w:val="center"/>
              <w:rPr>
                <w:rFonts w:hint="default" w:ascii="Times New Roman" w:hAnsi="Times New Roman" w:eastAsia="微软雅黑" w:cs="Times New Roman"/>
                <w:i/>
                <w:iCs/>
                <w:color w:val="000000"/>
                <w:sz w:val="16"/>
                <w:szCs w:val="16"/>
                <w:u w:val="none"/>
              </w:rPr>
            </w:pPr>
          </w:p>
        </w:tc>
      </w:tr>
      <w:tr w14:paraId="45849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682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289A7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95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49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3C28">
            <w:pPr>
              <w:rPr>
                <w:rFonts w:hint="default" w:ascii="Times New Roman" w:hAnsi="Times New Roman" w:eastAsia="宋体" w:cs="Times New Roman"/>
                <w:i w:val="0"/>
                <w:iCs w:val="0"/>
                <w:color w:val="000000"/>
                <w:sz w:val="18"/>
                <w:szCs w:val="18"/>
                <w:u w:val="none"/>
              </w:rPr>
            </w:pPr>
          </w:p>
        </w:tc>
      </w:tr>
      <w:tr w14:paraId="7973B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846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评价结论</w:t>
            </w:r>
          </w:p>
        </w:tc>
        <w:tc>
          <w:tcPr>
            <w:tcW w:w="836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4FF6A30">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项目自评总分100分，按规定足额缴纳入驻政务中心单位租金、物业费及水电费，保障单位正常运转。2023年完成支付入79.79万元，预算执行率100%。</w:t>
            </w:r>
          </w:p>
        </w:tc>
      </w:tr>
      <w:tr w14:paraId="4F292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E5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存在问题</w:t>
            </w:r>
          </w:p>
        </w:tc>
        <w:tc>
          <w:tcPr>
            <w:tcW w:w="836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3225D2F">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3E4AB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B1C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改进措施</w:t>
            </w:r>
          </w:p>
        </w:tc>
        <w:tc>
          <w:tcPr>
            <w:tcW w:w="836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83594B7">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119EA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45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151C7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项目负责人：高礼银</w:t>
            </w:r>
          </w:p>
        </w:tc>
        <w:tc>
          <w:tcPr>
            <w:tcW w:w="46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FFAA0E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财务负责人：毛嵩</w:t>
            </w:r>
          </w:p>
        </w:tc>
      </w:tr>
    </w:tbl>
    <w:p w14:paraId="60D62394">
      <w:pPr>
        <w:rPr>
          <w:rFonts w:hint="default" w:ascii="Times New Roman" w:hAnsi="Times New Roman" w:eastAsia="黑体" w:cs="Times New Roman"/>
          <w:color w:val="auto"/>
          <w:kern w:val="0"/>
          <w:sz w:val="32"/>
          <w:szCs w:val="32"/>
          <w:highlight w:val="none"/>
          <w:shd w:val="clear" w:color="auto" w:fill="FFFFFF"/>
          <w:lang w:val="zh-CN"/>
        </w:rPr>
      </w:pPr>
    </w:p>
    <w:p w14:paraId="1D31DDA4">
      <w:pPr>
        <w:rPr>
          <w:rFonts w:hint="default" w:ascii="Times New Roman" w:hAnsi="Times New Roman" w:eastAsia="黑体" w:cs="Times New Roman"/>
          <w:color w:val="auto"/>
          <w:kern w:val="0"/>
          <w:sz w:val="32"/>
          <w:szCs w:val="32"/>
          <w:highlight w:val="none"/>
          <w:shd w:val="clear" w:color="auto" w:fill="FFFFFF"/>
          <w:lang w:val="zh-CN"/>
        </w:rPr>
      </w:pPr>
    </w:p>
    <w:p w14:paraId="35B0E608">
      <w:pPr>
        <w:rPr>
          <w:rFonts w:hint="default" w:ascii="Times New Roman" w:hAnsi="Times New Roman" w:eastAsia="黑体" w:cs="Times New Roman"/>
          <w:color w:val="auto"/>
          <w:kern w:val="0"/>
          <w:sz w:val="32"/>
          <w:szCs w:val="32"/>
          <w:highlight w:val="none"/>
          <w:shd w:val="clear" w:color="auto" w:fill="FFFFFF"/>
          <w:lang w:val="zh-CN"/>
        </w:rPr>
      </w:pPr>
    </w:p>
    <w:tbl>
      <w:tblPr>
        <w:tblStyle w:val="18"/>
        <w:tblW w:w="9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7"/>
        <w:gridCol w:w="768"/>
        <w:gridCol w:w="768"/>
        <w:gridCol w:w="1373"/>
        <w:gridCol w:w="762"/>
        <w:gridCol w:w="764"/>
        <w:gridCol w:w="764"/>
        <w:gridCol w:w="861"/>
        <w:gridCol w:w="764"/>
        <w:gridCol w:w="764"/>
        <w:gridCol w:w="765"/>
      </w:tblGrid>
      <w:tr w14:paraId="25C79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912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4CCB7A7">
            <w:pPr>
              <w:keepNext w:val="0"/>
              <w:keepLines w:val="0"/>
              <w:widowControl/>
              <w:suppressLineNumbers w:val="0"/>
              <w:jc w:val="center"/>
              <w:textAlignment w:val="center"/>
              <w:rPr>
                <w:rFonts w:hint="default" w:ascii="Times New Roman" w:hAnsi="Times New Roman" w:eastAsia="黑体" w:cs="Times New Roman"/>
                <w:b/>
                <w:bCs/>
                <w:i w:val="0"/>
                <w:iCs w:val="0"/>
                <w:color w:val="000000"/>
                <w:sz w:val="30"/>
                <w:szCs w:val="30"/>
                <w:u w:val="none"/>
              </w:rPr>
            </w:pPr>
            <w:r>
              <w:rPr>
                <w:rFonts w:hint="default" w:ascii="Times New Roman" w:hAnsi="Times New Roman" w:eastAsia="黑体" w:cs="Times New Roman"/>
                <w:b/>
                <w:bCs/>
                <w:i w:val="0"/>
                <w:iCs w:val="0"/>
                <w:color w:val="000000"/>
                <w:kern w:val="0"/>
                <w:sz w:val="30"/>
                <w:szCs w:val="30"/>
                <w:u w:val="none"/>
                <w:lang w:val="en-US" w:eastAsia="zh-CN" w:bidi="ar"/>
              </w:rPr>
              <w:t>部门预算项目支出绩效自评表（2024年度）</w:t>
            </w:r>
          </w:p>
        </w:tc>
      </w:tr>
      <w:tr w14:paraId="20C5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48285">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项目名称</w:t>
            </w:r>
          </w:p>
        </w:tc>
        <w:tc>
          <w:tcPr>
            <w:tcW w:w="757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555FFF7">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51040022T000005992222-社保公共服务能力建设资金</w:t>
            </w:r>
          </w:p>
        </w:tc>
      </w:tr>
      <w:tr w14:paraId="242E1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15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5B3B5">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主管部门</w:t>
            </w:r>
          </w:p>
        </w:tc>
        <w:tc>
          <w:tcPr>
            <w:tcW w:w="44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2D23D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c>
          <w:tcPr>
            <w:tcW w:w="772" w:type="dxa"/>
            <w:tcBorders>
              <w:top w:val="nil"/>
              <w:left w:val="nil"/>
              <w:bottom w:val="nil"/>
              <w:right w:val="nil"/>
            </w:tcBorders>
            <w:shd w:val="clear" w:color="auto" w:fill="auto"/>
            <w:vAlign w:val="center"/>
          </w:tcPr>
          <w:p w14:paraId="22191424">
            <w:pPr>
              <w:keepNext w:val="0"/>
              <w:keepLines w:val="0"/>
              <w:widowControl/>
              <w:suppressLineNumbers w:val="0"/>
              <w:jc w:val="left"/>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实施单位 （盖章）</w:t>
            </w:r>
          </w:p>
        </w:tc>
        <w:tc>
          <w:tcPr>
            <w:tcW w:w="2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0B61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r>
      <w:tr w14:paraId="708B9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A6B3E1">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项目基本情况</w:t>
            </w:r>
          </w:p>
        </w:tc>
        <w:tc>
          <w:tcPr>
            <w:tcW w:w="7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BDF588">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1.项目年度目标完成情况</w:t>
            </w:r>
          </w:p>
        </w:tc>
        <w:tc>
          <w:tcPr>
            <w:tcW w:w="44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40BF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项目年度目标</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962254">
            <w:pPr>
              <w:keepNext w:val="0"/>
              <w:keepLines w:val="0"/>
              <w:widowControl/>
              <w:suppressLineNumbers w:val="0"/>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年度目标完成情况</w:t>
            </w:r>
          </w:p>
        </w:tc>
      </w:tr>
      <w:tr w14:paraId="668AB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BC791">
            <w:pPr>
              <w:rPr>
                <w:rFonts w:hint="default" w:ascii="Times New Roman" w:hAnsi="Times New Roman" w:eastAsia="宋体" w:cs="Times New Roman"/>
                <w:i w:val="0"/>
                <w:iCs w:val="0"/>
                <w:color w:val="000000"/>
                <w:sz w:val="18"/>
                <w:szCs w:val="18"/>
                <w:u w:val="none"/>
              </w:rPr>
            </w:pPr>
          </w:p>
        </w:tc>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EACE5">
            <w:pPr>
              <w:rPr>
                <w:rFonts w:hint="default" w:ascii="Times New Roman" w:hAnsi="Times New Roman" w:eastAsia="宋体" w:cs="Times New Roman"/>
                <w:i w:val="0"/>
                <w:iCs w:val="0"/>
                <w:color w:val="000000"/>
                <w:sz w:val="18"/>
                <w:szCs w:val="18"/>
                <w:u w:val="none"/>
              </w:rPr>
            </w:pPr>
          </w:p>
        </w:tc>
        <w:tc>
          <w:tcPr>
            <w:tcW w:w="44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71A19D">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确保企业职工基本养老保险、工伤保险省级统筹顺利推进，参保覆盖人数持续增长，待遇水平稳步提高，基金运行总体平稳；强化社会保险基金预决算管理工作，完善社保基金预决算管理办法，做好基金预决算及预算执行情况动态分析，切实构建社会保险基金预决算监督管理的长效机制。</w:t>
            </w:r>
          </w:p>
        </w:tc>
        <w:tc>
          <w:tcPr>
            <w:tcW w:w="30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F787C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确保企业职工基本养老保险、工伤保险省级统筹顺利推进，参保覆盖人数持续增长，待遇水平稳步提高，基金运行总体平稳；强化社会保险基金预决算管理工作，完善社保基金预决算管理办法，做好基金预决算及预算执行情况动态分析，切实构建社会保险基金预决算监督管理的长效机制。</w:t>
            </w:r>
          </w:p>
        </w:tc>
      </w:tr>
      <w:tr w14:paraId="72985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F28F3">
            <w:pP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D446B">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2.项目实施内容及过程概述</w:t>
            </w:r>
          </w:p>
        </w:tc>
        <w:tc>
          <w:tcPr>
            <w:tcW w:w="757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9C4E00">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大厅顺利实现综合柜员制，切实缩短办事时限，提高办事效率，社保公共服务提质增效。</w:t>
            </w:r>
          </w:p>
        </w:tc>
      </w:tr>
      <w:tr w14:paraId="20AF6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21C6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预算执行情况（10分）</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904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年度预算数（万元）</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D397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年初预算</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D3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调整后预算数</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FEDB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51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2D6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6F94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8041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原因</w:t>
            </w:r>
          </w:p>
        </w:tc>
      </w:tr>
      <w:tr w14:paraId="5C4AD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62568">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C04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总额</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B2C9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57B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91918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B4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ED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C0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D461B7">
            <w:pPr>
              <w:rPr>
                <w:rFonts w:hint="default" w:ascii="Times New Roman" w:hAnsi="Times New Roman" w:eastAsia="黑体" w:cs="Times New Roman"/>
                <w:i/>
                <w:iCs/>
                <w:color w:val="000000"/>
                <w:sz w:val="18"/>
                <w:szCs w:val="18"/>
                <w:u w:val="none"/>
              </w:rPr>
            </w:pPr>
          </w:p>
        </w:tc>
      </w:tr>
      <w:tr w14:paraId="17D86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495C99">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21B8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其中：财政资金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1F4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A0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3B08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16.80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AC0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BE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156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60D93">
            <w:pPr>
              <w:rPr>
                <w:rFonts w:hint="default" w:ascii="Times New Roman" w:hAnsi="Times New Roman" w:eastAsia="黑体" w:cs="Times New Roman"/>
                <w:i/>
                <w:iCs/>
                <w:color w:val="000000"/>
                <w:sz w:val="18"/>
                <w:szCs w:val="18"/>
                <w:u w:val="none"/>
              </w:rPr>
            </w:pPr>
          </w:p>
        </w:tc>
      </w:tr>
      <w:tr w14:paraId="36BB9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C4789">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00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财政专户管理资金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4C6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93A1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FFCA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E2A3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B12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C294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7BC78">
            <w:pPr>
              <w:rPr>
                <w:rFonts w:hint="default" w:ascii="Times New Roman" w:hAnsi="Times New Roman" w:eastAsia="黑体" w:cs="Times New Roman"/>
                <w:i/>
                <w:iCs/>
                <w:color w:val="000000"/>
                <w:sz w:val="18"/>
                <w:szCs w:val="18"/>
                <w:u w:val="none"/>
              </w:rPr>
            </w:pPr>
          </w:p>
        </w:tc>
      </w:tr>
      <w:tr w14:paraId="32CA8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70C50">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861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8B7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FE7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A0B21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10B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41D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3C9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3E70C">
            <w:pPr>
              <w:rPr>
                <w:rFonts w:hint="default" w:ascii="Times New Roman" w:hAnsi="Times New Roman" w:eastAsia="黑体" w:cs="Times New Roman"/>
                <w:i/>
                <w:iCs/>
                <w:color w:val="000000"/>
                <w:sz w:val="18"/>
                <w:szCs w:val="18"/>
                <w:u w:val="none"/>
              </w:rPr>
            </w:pPr>
          </w:p>
        </w:tc>
      </w:tr>
      <w:tr w14:paraId="1DEBB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89C09">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626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19E28">
            <w:pPr>
              <w:jc w:val="center"/>
              <w:rPr>
                <w:rFonts w:hint="default" w:ascii="Times New Roman" w:hAnsi="Times New Roman" w:eastAsia="微软雅黑" w:cs="Times New Roman"/>
                <w:i/>
                <w:iCs/>
                <w:color w:val="000000"/>
                <w:sz w:val="16"/>
                <w:szCs w:val="16"/>
                <w:u w:val="none"/>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FF3C">
            <w:pPr>
              <w:jc w:val="center"/>
              <w:rPr>
                <w:rFonts w:hint="default" w:ascii="Times New Roman" w:hAnsi="Times New Roman" w:eastAsia="微软雅黑" w:cs="Times New Roman"/>
                <w:i/>
                <w:iCs/>
                <w:color w:val="000000"/>
                <w:sz w:val="16"/>
                <w:szCs w:val="16"/>
                <w:u w:val="none"/>
              </w:rPr>
            </w:pPr>
          </w:p>
        </w:tc>
        <w:tc>
          <w:tcPr>
            <w:tcW w:w="2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95F4D8">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38B6">
            <w:pPr>
              <w:jc w:val="center"/>
              <w:rPr>
                <w:rFonts w:hint="default" w:ascii="Times New Roman" w:hAnsi="Times New Roman" w:eastAsia="微软雅黑" w:cs="Times New Roman"/>
                <w:i/>
                <w:iCs/>
                <w:color w:val="000000"/>
                <w:sz w:val="16"/>
                <w:szCs w:val="16"/>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32E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28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C466E">
            <w:pPr>
              <w:rPr>
                <w:rFonts w:hint="default" w:ascii="Times New Roman" w:hAnsi="Times New Roman" w:eastAsia="黑体" w:cs="Times New Roman"/>
                <w:i/>
                <w:iCs/>
                <w:color w:val="000000"/>
                <w:sz w:val="18"/>
                <w:szCs w:val="18"/>
                <w:u w:val="none"/>
              </w:rPr>
            </w:pPr>
          </w:p>
        </w:tc>
      </w:tr>
      <w:tr w14:paraId="2C6B1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50CC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绩效指标（90分）</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819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C6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二级指标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A18D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三级指标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B67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指标性质</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7E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指标值</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6DF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度量单位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B3B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完成值</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0C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E61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789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未完成原因分析</w:t>
            </w:r>
          </w:p>
        </w:tc>
      </w:tr>
      <w:tr w14:paraId="3B9CF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4921B">
            <w:pPr>
              <w:jc w:val="center"/>
              <w:rPr>
                <w:rFonts w:hint="default" w:ascii="Times New Roman" w:hAnsi="Times New Roman" w:eastAsia="宋体" w:cs="Times New Roman"/>
                <w:i w:val="0"/>
                <w:iCs w:val="0"/>
                <w:color w:val="000000"/>
                <w:sz w:val="18"/>
                <w:szCs w:val="18"/>
                <w:u w:val="none"/>
              </w:rPr>
            </w:pPr>
          </w:p>
        </w:tc>
        <w:tc>
          <w:tcPr>
            <w:tcW w:w="7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3D52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产出指标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CB9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质量指标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F5C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养老金领取资格认证率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C2E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74C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E4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8B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35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45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3F69">
            <w:pPr>
              <w:jc w:val="center"/>
              <w:rPr>
                <w:rFonts w:hint="default" w:ascii="Times New Roman" w:hAnsi="Times New Roman" w:eastAsia="微软雅黑" w:cs="Times New Roman"/>
                <w:i/>
                <w:iCs/>
                <w:color w:val="000000"/>
                <w:sz w:val="16"/>
                <w:szCs w:val="16"/>
                <w:u w:val="none"/>
              </w:rPr>
            </w:pPr>
          </w:p>
        </w:tc>
      </w:tr>
      <w:tr w14:paraId="13DB8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D74F6">
            <w:pPr>
              <w:jc w:val="center"/>
              <w:rPr>
                <w:rFonts w:hint="default" w:ascii="Times New Roman" w:hAnsi="Times New Roman" w:eastAsia="宋体" w:cs="Times New Roman"/>
                <w:i w:val="0"/>
                <w:iCs w:val="0"/>
                <w:color w:val="000000"/>
                <w:sz w:val="18"/>
                <w:szCs w:val="18"/>
                <w:u w:val="none"/>
              </w:rPr>
            </w:pPr>
          </w:p>
        </w:tc>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BF0C4">
            <w:pPr>
              <w:jc w:val="center"/>
              <w:rPr>
                <w:rFonts w:hint="default" w:ascii="Times New Roman" w:hAnsi="Times New Roman" w:eastAsia="宋体" w:cs="Times New Roman"/>
                <w:i w:val="0"/>
                <w:iCs w:val="0"/>
                <w:color w:val="000000"/>
                <w:sz w:val="18"/>
                <w:szCs w:val="18"/>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B736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时效指标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BF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资金在规定时间下达率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1A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DC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BB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797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DAF0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FEBA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B4AC">
            <w:pPr>
              <w:jc w:val="center"/>
              <w:rPr>
                <w:rFonts w:hint="default" w:ascii="Times New Roman" w:hAnsi="Times New Roman" w:eastAsia="微软雅黑" w:cs="Times New Roman"/>
                <w:i/>
                <w:iCs/>
                <w:color w:val="000000"/>
                <w:sz w:val="16"/>
                <w:szCs w:val="16"/>
                <w:u w:val="none"/>
              </w:rPr>
            </w:pPr>
          </w:p>
        </w:tc>
      </w:tr>
      <w:tr w14:paraId="5340F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56544">
            <w:pPr>
              <w:jc w:val="center"/>
              <w:rPr>
                <w:rFonts w:hint="default" w:ascii="Times New Roman" w:hAnsi="Times New Roman" w:eastAsia="宋体" w:cs="Times New Roman"/>
                <w:i w:val="0"/>
                <w:iCs w:val="0"/>
                <w:color w:val="000000"/>
                <w:sz w:val="18"/>
                <w:szCs w:val="18"/>
                <w:u w:val="none"/>
              </w:rPr>
            </w:pPr>
          </w:p>
        </w:tc>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A4DD6">
            <w:pPr>
              <w:jc w:val="center"/>
              <w:rPr>
                <w:rFonts w:hint="default" w:ascii="Times New Roman" w:hAnsi="Times New Roman" w:eastAsia="宋体" w:cs="Times New Roman"/>
                <w:i w:val="0"/>
                <w:iCs w:val="0"/>
                <w:color w:val="000000"/>
                <w:sz w:val="18"/>
                <w:szCs w:val="18"/>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61488">
            <w:pPr>
              <w:jc w:val="center"/>
              <w:rPr>
                <w:rFonts w:hint="default" w:ascii="Times New Roman" w:hAnsi="Times New Roman" w:eastAsia="宋体" w:cs="Times New Roman"/>
                <w:i w:val="0"/>
                <w:iCs w:val="0"/>
                <w:color w:val="000000"/>
                <w:sz w:val="18"/>
                <w:szCs w:val="18"/>
                <w:u w:val="none"/>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2CF4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企业职工基本养老保险待遇按时足额发放</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71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9F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77E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E99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445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A5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BAF0">
            <w:pPr>
              <w:jc w:val="center"/>
              <w:rPr>
                <w:rFonts w:hint="default" w:ascii="Times New Roman" w:hAnsi="Times New Roman" w:eastAsia="微软雅黑" w:cs="Times New Roman"/>
                <w:i/>
                <w:iCs/>
                <w:color w:val="000000"/>
                <w:sz w:val="16"/>
                <w:szCs w:val="16"/>
                <w:u w:val="none"/>
              </w:rPr>
            </w:pPr>
          </w:p>
        </w:tc>
      </w:tr>
      <w:tr w14:paraId="0C20C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76BC1">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85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效益指标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40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社会效益指标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E8F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群众获得感、幸福感</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79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B40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高中低</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3BDA">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570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高</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48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439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B348">
            <w:pPr>
              <w:jc w:val="center"/>
              <w:rPr>
                <w:rFonts w:hint="default" w:ascii="Times New Roman" w:hAnsi="Times New Roman" w:eastAsia="微软雅黑" w:cs="Times New Roman"/>
                <w:i/>
                <w:iCs/>
                <w:color w:val="000000"/>
                <w:sz w:val="16"/>
                <w:szCs w:val="16"/>
                <w:u w:val="none"/>
              </w:rPr>
            </w:pPr>
          </w:p>
        </w:tc>
      </w:tr>
      <w:tr w14:paraId="7A976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748B3">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CC2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满意度指标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A5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服务对象满意度指标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3B4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参保人员满意度</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1956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CAC1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0C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5FB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F54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F75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8C09">
            <w:pPr>
              <w:jc w:val="center"/>
              <w:rPr>
                <w:rFonts w:hint="default" w:ascii="Times New Roman" w:hAnsi="Times New Roman" w:eastAsia="微软雅黑" w:cs="Times New Roman"/>
                <w:i/>
                <w:iCs/>
                <w:color w:val="000000"/>
                <w:sz w:val="16"/>
                <w:szCs w:val="16"/>
                <w:u w:val="none"/>
              </w:rPr>
            </w:pPr>
          </w:p>
        </w:tc>
      </w:tr>
      <w:tr w14:paraId="0108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1657F">
            <w:pPr>
              <w:jc w:val="center"/>
              <w:rPr>
                <w:rFonts w:hint="default" w:ascii="Times New Roman" w:hAnsi="Times New Roman" w:eastAsia="宋体" w:cs="Times New Roman"/>
                <w:i w:val="0"/>
                <w:iCs w:val="0"/>
                <w:color w:val="000000"/>
                <w:sz w:val="18"/>
                <w:szCs w:val="18"/>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1B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成本指标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022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经济成本指标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7368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下达资金</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518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759B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DB85">
            <w:pPr>
              <w:jc w:val="center"/>
              <w:rPr>
                <w:rFonts w:hint="default" w:ascii="Times New Roman" w:hAnsi="Times New Roman" w:eastAsia="宋体" w:cs="Times New Roman"/>
                <w:i w:val="0"/>
                <w:iCs w:val="0"/>
                <w:color w:val="000000"/>
                <w:sz w:val="18"/>
                <w:szCs w:val="18"/>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0E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全额</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3C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C85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CA13">
            <w:pPr>
              <w:jc w:val="center"/>
              <w:rPr>
                <w:rFonts w:hint="default" w:ascii="Times New Roman" w:hAnsi="Times New Roman" w:eastAsia="微软雅黑" w:cs="Times New Roman"/>
                <w:i/>
                <w:iCs/>
                <w:color w:val="000000"/>
                <w:sz w:val="16"/>
                <w:szCs w:val="16"/>
                <w:u w:val="none"/>
              </w:rPr>
            </w:pPr>
          </w:p>
        </w:tc>
      </w:tr>
      <w:tr w14:paraId="5A62F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80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5CC1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123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72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91C6D">
            <w:pPr>
              <w:rPr>
                <w:rFonts w:hint="default" w:ascii="Times New Roman" w:hAnsi="Times New Roman" w:eastAsia="宋体" w:cs="Times New Roman"/>
                <w:i w:val="0"/>
                <w:iCs w:val="0"/>
                <w:color w:val="000000"/>
                <w:sz w:val="18"/>
                <w:szCs w:val="18"/>
                <w:u w:val="none"/>
              </w:rPr>
            </w:pPr>
          </w:p>
        </w:tc>
      </w:tr>
      <w:tr w14:paraId="41510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D5E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评价结论</w:t>
            </w:r>
          </w:p>
        </w:tc>
        <w:tc>
          <w:tcPr>
            <w:tcW w:w="83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F06B51F">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项目自评总分100分，提升社保工作人员经办能力和水平，确保企业职工基本养老保险工作顺利推进，大厅顺利实现综合柜员制，社保公共服务提质增效。2024年完成支付入16.8万元，预算执行率100%。</w:t>
            </w:r>
          </w:p>
        </w:tc>
      </w:tr>
      <w:tr w14:paraId="5CDBF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16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存在问题</w:t>
            </w:r>
          </w:p>
        </w:tc>
        <w:tc>
          <w:tcPr>
            <w:tcW w:w="83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DF6EC45">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6848F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A5C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改进措施</w:t>
            </w:r>
          </w:p>
        </w:tc>
        <w:tc>
          <w:tcPr>
            <w:tcW w:w="83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D6CA9C7">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273C4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4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06CAF8">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项目负责人：高礼银</w:t>
            </w:r>
          </w:p>
        </w:tc>
        <w:tc>
          <w:tcPr>
            <w:tcW w:w="46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B6AF40A">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财务负责人：毛嵩</w:t>
            </w:r>
          </w:p>
        </w:tc>
      </w:tr>
    </w:tbl>
    <w:p w14:paraId="4163CEA0">
      <w:pPr>
        <w:rPr>
          <w:rFonts w:hint="default" w:ascii="Times New Roman" w:hAnsi="Times New Roman" w:eastAsia="黑体" w:cs="Times New Roman"/>
          <w:color w:val="auto"/>
          <w:kern w:val="0"/>
          <w:sz w:val="32"/>
          <w:szCs w:val="32"/>
          <w:highlight w:val="none"/>
          <w:shd w:val="clear" w:color="auto" w:fill="FFFFFF"/>
          <w:lang w:val="zh-CN"/>
        </w:rPr>
      </w:pPr>
    </w:p>
    <w:tbl>
      <w:tblPr>
        <w:tblStyle w:val="18"/>
        <w:tblW w:w="91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9"/>
        <w:gridCol w:w="1177"/>
        <w:gridCol w:w="1031"/>
        <w:gridCol w:w="1286"/>
        <w:gridCol w:w="398"/>
        <w:gridCol w:w="982"/>
        <w:gridCol w:w="401"/>
        <w:gridCol w:w="861"/>
        <w:gridCol w:w="489"/>
        <w:gridCol w:w="489"/>
        <w:gridCol w:w="1407"/>
      </w:tblGrid>
      <w:tr w14:paraId="3AF47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1" w:hRule="atLeast"/>
        </w:trPr>
        <w:tc>
          <w:tcPr>
            <w:tcW w:w="91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6084DBF">
            <w:pPr>
              <w:keepNext w:val="0"/>
              <w:keepLines w:val="0"/>
              <w:widowControl/>
              <w:suppressLineNumbers w:val="0"/>
              <w:jc w:val="center"/>
              <w:textAlignment w:val="center"/>
              <w:rPr>
                <w:rFonts w:hint="default" w:ascii="Times New Roman" w:hAnsi="Times New Roman" w:eastAsia="黑体" w:cs="Times New Roman"/>
                <w:b/>
                <w:bCs/>
                <w:i w:val="0"/>
                <w:iCs w:val="0"/>
                <w:color w:val="000000"/>
                <w:sz w:val="30"/>
                <w:szCs w:val="30"/>
                <w:u w:val="none"/>
              </w:rPr>
            </w:pPr>
            <w:r>
              <w:rPr>
                <w:rFonts w:hint="default" w:ascii="Times New Roman" w:hAnsi="Times New Roman" w:eastAsia="黑体" w:cs="Times New Roman"/>
                <w:b/>
                <w:bCs/>
                <w:i w:val="0"/>
                <w:iCs w:val="0"/>
                <w:color w:val="000000"/>
                <w:kern w:val="0"/>
                <w:sz w:val="30"/>
                <w:szCs w:val="30"/>
                <w:u w:val="none"/>
                <w:lang w:val="en-US" w:eastAsia="zh-CN" w:bidi="ar"/>
              </w:rPr>
              <w:t>部门预算项目支出绩效自评表（2024年度）</w:t>
            </w:r>
          </w:p>
        </w:tc>
      </w:tr>
      <w:tr w14:paraId="011BE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1676DE">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项目名称</w:t>
            </w:r>
          </w:p>
        </w:tc>
        <w:tc>
          <w:tcPr>
            <w:tcW w:w="73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6176ECC">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51040022T000007251342-省管森工社会化管理工作经费</w:t>
            </w:r>
          </w:p>
        </w:tc>
      </w:tr>
      <w:tr w14:paraId="4458C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CE48F">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主管部门</w:t>
            </w:r>
          </w:p>
        </w:tc>
        <w:tc>
          <w:tcPr>
            <w:tcW w:w="4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EC4D8C">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c>
          <w:tcPr>
            <w:tcW w:w="851" w:type="dxa"/>
            <w:tcBorders>
              <w:top w:val="nil"/>
              <w:left w:val="nil"/>
              <w:bottom w:val="nil"/>
              <w:right w:val="nil"/>
            </w:tcBorders>
            <w:shd w:val="clear" w:color="auto" w:fill="auto"/>
            <w:vAlign w:val="center"/>
          </w:tcPr>
          <w:p w14:paraId="4DA30521">
            <w:pPr>
              <w:keepNext w:val="0"/>
              <w:keepLines w:val="0"/>
              <w:widowControl/>
              <w:suppressLineNumbers w:val="0"/>
              <w:jc w:val="left"/>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实施单位 （盖章）</w:t>
            </w:r>
          </w:p>
        </w:tc>
        <w:tc>
          <w:tcPr>
            <w:tcW w:w="23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CE9F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攀枝花市社会保险事务中心</w:t>
            </w:r>
          </w:p>
        </w:tc>
      </w:tr>
      <w:tr w14:paraId="26CDC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4B8AA1">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项目基本情况</w:t>
            </w: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60C09C">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1.项目年度目标完成情况</w:t>
            </w:r>
          </w:p>
        </w:tc>
        <w:tc>
          <w:tcPr>
            <w:tcW w:w="4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E39CF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项目年度目标</w:t>
            </w:r>
          </w:p>
        </w:tc>
        <w:tc>
          <w:tcPr>
            <w:tcW w:w="32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5EB11D">
            <w:pPr>
              <w:keepNext w:val="0"/>
              <w:keepLines w:val="0"/>
              <w:widowControl/>
              <w:suppressLineNumbers w:val="0"/>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年度目标完成情况</w:t>
            </w:r>
          </w:p>
        </w:tc>
      </w:tr>
      <w:tr w14:paraId="475D6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AD349">
            <w:pPr>
              <w:rPr>
                <w:rFonts w:hint="default" w:ascii="Times New Roman" w:hAnsi="Times New Roman" w:eastAsia="宋体" w:cs="Times New Roman"/>
                <w:i w:val="0"/>
                <w:iCs w:val="0"/>
                <w:color w:val="000000"/>
                <w:sz w:val="18"/>
                <w:szCs w:val="18"/>
                <w:u w:val="none"/>
              </w:rPr>
            </w:pP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B34CC">
            <w:pPr>
              <w:rPr>
                <w:rFonts w:hint="default" w:ascii="Times New Roman" w:hAnsi="Times New Roman" w:eastAsia="宋体" w:cs="Times New Roman"/>
                <w:i w:val="0"/>
                <w:iCs w:val="0"/>
                <w:color w:val="000000"/>
                <w:sz w:val="18"/>
                <w:szCs w:val="18"/>
                <w:u w:val="none"/>
              </w:rPr>
            </w:pPr>
          </w:p>
        </w:tc>
        <w:tc>
          <w:tcPr>
            <w:tcW w:w="4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CFBAF8">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做好省管森工退休人员社会化管理工作</w:t>
            </w:r>
          </w:p>
        </w:tc>
        <w:tc>
          <w:tcPr>
            <w:tcW w:w="32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30F107">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确保社保经办机构代管的省管森工企业离退休人员基本养老金按时足额发放，提升省管森工企业离退休人员社会化管理服务水平。</w:t>
            </w:r>
          </w:p>
        </w:tc>
      </w:tr>
      <w:tr w14:paraId="34F98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82C9E">
            <w:pP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A1F99">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2.项目实施内容及过程概述</w:t>
            </w:r>
          </w:p>
        </w:tc>
        <w:tc>
          <w:tcPr>
            <w:tcW w:w="73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F57A1DD">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按月为省管森工企业离退休人员发放养老金，做好社会化管理服务工作。</w:t>
            </w:r>
          </w:p>
        </w:tc>
      </w:tr>
      <w:tr w14:paraId="59A72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0AB7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预算执行情况（10分）</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EDB2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年度预算数（万元）</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5F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年初预算</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56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调整后预算数</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6811C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0B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预算执行率</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33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587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8A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原因</w:t>
            </w:r>
          </w:p>
        </w:tc>
      </w:tr>
      <w:tr w14:paraId="5E328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8D007">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C5E1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总额</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45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9F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3F2C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7F0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CB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826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553225">
            <w:pPr>
              <w:rPr>
                <w:rFonts w:hint="default" w:ascii="Times New Roman" w:hAnsi="Times New Roman" w:eastAsia="黑体" w:cs="Times New Roman"/>
                <w:i/>
                <w:iCs/>
                <w:color w:val="000000"/>
                <w:sz w:val="18"/>
                <w:szCs w:val="18"/>
                <w:u w:val="none"/>
              </w:rPr>
            </w:pPr>
          </w:p>
        </w:tc>
      </w:tr>
      <w:tr w14:paraId="6C5D7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2F0AB">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801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其中：财政资金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20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936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2C5B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E2BE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482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DD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1E774">
            <w:pPr>
              <w:rPr>
                <w:rFonts w:hint="default" w:ascii="Times New Roman" w:hAnsi="Times New Roman" w:eastAsia="黑体" w:cs="Times New Roman"/>
                <w:i/>
                <w:iCs/>
                <w:color w:val="000000"/>
                <w:sz w:val="18"/>
                <w:szCs w:val="18"/>
                <w:u w:val="none"/>
              </w:rPr>
            </w:pPr>
          </w:p>
        </w:tc>
      </w:tr>
      <w:tr w14:paraId="0E8FD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CEBAE">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C7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财政专户管理资金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5B7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FF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B000C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951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101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647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A643B">
            <w:pPr>
              <w:rPr>
                <w:rFonts w:hint="default" w:ascii="Times New Roman" w:hAnsi="Times New Roman" w:eastAsia="黑体" w:cs="Times New Roman"/>
                <w:i/>
                <w:iCs/>
                <w:color w:val="000000"/>
                <w:sz w:val="18"/>
                <w:szCs w:val="18"/>
                <w:u w:val="none"/>
              </w:rPr>
            </w:pPr>
          </w:p>
        </w:tc>
      </w:tr>
      <w:tr w14:paraId="482D5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32805">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2EC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单位资金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1072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876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D083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72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543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F39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A46CB">
            <w:pPr>
              <w:rPr>
                <w:rFonts w:hint="default" w:ascii="Times New Roman" w:hAnsi="Times New Roman" w:eastAsia="黑体" w:cs="Times New Roman"/>
                <w:i/>
                <w:iCs/>
                <w:color w:val="000000"/>
                <w:sz w:val="18"/>
                <w:szCs w:val="18"/>
                <w:u w:val="none"/>
              </w:rPr>
            </w:pPr>
          </w:p>
        </w:tc>
      </w:tr>
      <w:tr w14:paraId="31C53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42300">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89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其他资金</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6579">
            <w:pPr>
              <w:jc w:val="center"/>
              <w:rPr>
                <w:rFonts w:hint="default" w:ascii="Times New Roman" w:hAnsi="Times New Roman" w:eastAsia="微软雅黑" w:cs="Times New Roman"/>
                <w:i/>
                <w:iCs/>
                <w:color w:val="000000"/>
                <w:sz w:val="16"/>
                <w:szCs w:val="16"/>
                <w:u w:val="none"/>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3CCEF">
            <w:pPr>
              <w:jc w:val="center"/>
              <w:rPr>
                <w:rFonts w:hint="default" w:ascii="Times New Roman" w:hAnsi="Times New Roman" w:eastAsia="微软雅黑" w:cs="Times New Roman"/>
                <w:i/>
                <w:iCs/>
                <w:color w:val="000000"/>
                <w:sz w:val="16"/>
                <w:szCs w:val="16"/>
                <w:u w:val="none"/>
              </w:rPr>
            </w:pPr>
          </w:p>
        </w:tc>
        <w:tc>
          <w:tcPr>
            <w:tcW w:w="1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FBF481">
            <w:pPr>
              <w:jc w:val="center"/>
              <w:rPr>
                <w:rFonts w:hint="default" w:ascii="Times New Roman" w:hAnsi="Times New Roman" w:eastAsia="微软雅黑" w:cs="Times New Roman"/>
                <w:i/>
                <w:iCs/>
                <w:color w:val="000000"/>
                <w:sz w:val="16"/>
                <w:szCs w:val="16"/>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E61A">
            <w:pPr>
              <w:jc w:val="center"/>
              <w:rPr>
                <w:rFonts w:hint="default" w:ascii="Times New Roman" w:hAnsi="Times New Roman" w:eastAsia="微软雅黑" w:cs="Times New Roman"/>
                <w:i/>
                <w:iCs/>
                <w:color w:val="000000"/>
                <w:sz w:val="16"/>
                <w:szCs w:val="16"/>
                <w:u w:val="none"/>
              </w:rPr>
            </w:pP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AFE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D39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9E077">
            <w:pPr>
              <w:rPr>
                <w:rFonts w:hint="default" w:ascii="Times New Roman" w:hAnsi="Times New Roman" w:eastAsia="黑体" w:cs="Times New Roman"/>
                <w:i/>
                <w:iCs/>
                <w:color w:val="000000"/>
                <w:sz w:val="18"/>
                <w:szCs w:val="18"/>
                <w:u w:val="none"/>
              </w:rPr>
            </w:pPr>
          </w:p>
        </w:tc>
      </w:tr>
      <w:tr w14:paraId="6871E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1"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AEB7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绩效指标（90分）</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FB3B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一级指标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0E6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二级指标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246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三级指标</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7A5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指标性质</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95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指标值</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D85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度量单位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845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完成值</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59E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权重</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9A2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得分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A6E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未完成原因分析</w:t>
            </w:r>
          </w:p>
        </w:tc>
      </w:tr>
      <w:tr w14:paraId="5BD9A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66CA5">
            <w:pPr>
              <w:jc w:val="center"/>
              <w:rPr>
                <w:rFonts w:hint="default" w:ascii="Times New Roman" w:hAnsi="Times New Roman" w:eastAsia="宋体" w:cs="Times New Roman"/>
                <w:i w:val="0"/>
                <w:iCs w:val="0"/>
                <w:color w:val="000000"/>
                <w:sz w:val="18"/>
                <w:szCs w:val="18"/>
                <w:u w:val="none"/>
              </w:rPr>
            </w:pPr>
          </w:p>
        </w:tc>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983A7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产出指标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186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数量指标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AB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森工企业退休人员数量</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4C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82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750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830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人</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0E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750人</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CD0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AE5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88DB2">
            <w:pPr>
              <w:jc w:val="center"/>
              <w:rPr>
                <w:rFonts w:hint="default" w:ascii="Times New Roman" w:hAnsi="Times New Roman" w:eastAsia="微软雅黑" w:cs="Times New Roman"/>
                <w:i/>
                <w:iCs/>
                <w:color w:val="000000"/>
                <w:sz w:val="16"/>
                <w:szCs w:val="16"/>
                <w:u w:val="none"/>
              </w:rPr>
            </w:pPr>
          </w:p>
        </w:tc>
      </w:tr>
      <w:tr w14:paraId="0F601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7C643">
            <w:pPr>
              <w:jc w:val="center"/>
              <w:rPr>
                <w:rFonts w:hint="default" w:ascii="Times New Roman" w:hAnsi="Times New Roman" w:eastAsia="宋体" w:cs="Times New Roman"/>
                <w:i w:val="0"/>
                <w:iCs w:val="0"/>
                <w:color w:val="000000"/>
                <w:sz w:val="18"/>
                <w:szCs w:val="18"/>
                <w:u w:val="none"/>
              </w:rPr>
            </w:pP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80F73">
            <w:pPr>
              <w:jc w:val="center"/>
              <w:rPr>
                <w:rFonts w:hint="default" w:ascii="Times New Roman" w:hAnsi="Times New Roman" w:eastAsia="宋体" w:cs="Times New Roman"/>
                <w:i w:val="0"/>
                <w:iCs w:val="0"/>
                <w:color w:val="000000"/>
                <w:sz w:val="18"/>
                <w:szCs w:val="18"/>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849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质量指标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E94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按时足额发放率</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D09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E38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D3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0CF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BA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DA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5D9D">
            <w:pPr>
              <w:jc w:val="center"/>
              <w:rPr>
                <w:rFonts w:hint="default" w:ascii="Times New Roman" w:hAnsi="Times New Roman" w:eastAsia="微软雅黑" w:cs="Times New Roman"/>
                <w:i/>
                <w:iCs/>
                <w:color w:val="000000"/>
                <w:sz w:val="16"/>
                <w:szCs w:val="16"/>
                <w:u w:val="none"/>
              </w:rPr>
            </w:pPr>
          </w:p>
        </w:tc>
      </w:tr>
      <w:tr w14:paraId="22366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36AC0">
            <w:pPr>
              <w:jc w:val="center"/>
              <w:rPr>
                <w:rFonts w:hint="default" w:ascii="Times New Roman" w:hAnsi="Times New Roman" w:eastAsia="宋体" w:cs="Times New Roman"/>
                <w:i w:val="0"/>
                <w:iCs w:val="0"/>
                <w:color w:val="000000"/>
                <w:sz w:val="18"/>
                <w:szCs w:val="18"/>
                <w:u w:val="none"/>
              </w:rPr>
            </w:pPr>
          </w:p>
        </w:tc>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364A4">
            <w:pPr>
              <w:jc w:val="center"/>
              <w:rPr>
                <w:rFonts w:hint="default" w:ascii="Times New Roman" w:hAnsi="Times New Roman" w:eastAsia="宋体" w:cs="Times New Roman"/>
                <w:i w:val="0"/>
                <w:iCs w:val="0"/>
                <w:color w:val="000000"/>
                <w:sz w:val="18"/>
                <w:szCs w:val="18"/>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E3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时效指标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60D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完成时间</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D89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4BA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82F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3B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1年内完成</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0C49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07B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13859">
            <w:pPr>
              <w:jc w:val="center"/>
              <w:rPr>
                <w:rFonts w:hint="default" w:ascii="Times New Roman" w:hAnsi="Times New Roman" w:eastAsia="微软雅黑" w:cs="Times New Roman"/>
                <w:i/>
                <w:iCs/>
                <w:color w:val="000000"/>
                <w:sz w:val="16"/>
                <w:szCs w:val="16"/>
                <w:u w:val="none"/>
              </w:rPr>
            </w:pPr>
          </w:p>
        </w:tc>
      </w:tr>
      <w:tr w14:paraId="68B7C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C07B1">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AE0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效益指标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D7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社会效益指标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3B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维护社会稳定</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B3F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定性</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D5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好</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39E6">
            <w:pPr>
              <w:jc w:val="center"/>
              <w:rPr>
                <w:rFonts w:hint="default" w:ascii="Times New Roman" w:hAnsi="Times New Roman" w:eastAsia="宋体" w:cs="Times New Roman"/>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30F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好</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E85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1B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99E5">
            <w:pPr>
              <w:jc w:val="center"/>
              <w:rPr>
                <w:rFonts w:hint="default" w:ascii="Times New Roman" w:hAnsi="Times New Roman" w:eastAsia="微软雅黑" w:cs="Times New Roman"/>
                <w:i/>
                <w:iCs/>
                <w:color w:val="000000"/>
                <w:sz w:val="16"/>
                <w:szCs w:val="16"/>
                <w:u w:val="none"/>
              </w:rPr>
            </w:pPr>
          </w:p>
        </w:tc>
      </w:tr>
      <w:tr w14:paraId="249E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3D2AF">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FE8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满意度指标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85F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服务对象满意度指标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3C56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森工退休人员满意度</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D93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331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95</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1CD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25B0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95%</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A5D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1FD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8570">
            <w:pPr>
              <w:jc w:val="center"/>
              <w:rPr>
                <w:rFonts w:hint="default" w:ascii="Times New Roman" w:hAnsi="Times New Roman" w:eastAsia="微软雅黑" w:cs="Times New Roman"/>
                <w:i/>
                <w:iCs/>
                <w:color w:val="000000"/>
                <w:sz w:val="16"/>
                <w:szCs w:val="16"/>
                <w:u w:val="none"/>
              </w:rPr>
            </w:pPr>
          </w:p>
        </w:tc>
      </w:tr>
      <w:tr w14:paraId="0FD13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AF1DFF">
            <w:pPr>
              <w:jc w:val="center"/>
              <w:rPr>
                <w:rFonts w:hint="default" w:ascii="Times New Roman" w:hAnsi="Times New Roman" w:eastAsia="宋体" w:cs="Times New Roman"/>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BF8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成本指标</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114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经济成本指标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E34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社会化管理工作成本</w:t>
            </w:r>
          </w:p>
        </w:tc>
        <w:tc>
          <w:tcPr>
            <w:tcW w:w="3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4772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5E7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w:t>
            </w:r>
          </w:p>
        </w:tc>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0CEF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7C0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7.69万元</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7AA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247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3C3B8">
            <w:pPr>
              <w:jc w:val="center"/>
              <w:rPr>
                <w:rFonts w:hint="default" w:ascii="Times New Roman" w:hAnsi="Times New Roman" w:eastAsia="微软雅黑" w:cs="Times New Roman"/>
                <w:i/>
                <w:iCs/>
                <w:color w:val="000000"/>
                <w:sz w:val="16"/>
                <w:szCs w:val="16"/>
                <w:u w:val="none"/>
              </w:rPr>
            </w:pPr>
          </w:p>
        </w:tc>
      </w:tr>
      <w:tr w14:paraId="3473F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67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1AA05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合计</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D815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F61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D5F7">
            <w:pPr>
              <w:rPr>
                <w:rFonts w:hint="default" w:ascii="Times New Roman" w:hAnsi="Times New Roman" w:eastAsia="宋体" w:cs="Times New Roman"/>
                <w:i w:val="0"/>
                <w:iCs w:val="0"/>
                <w:color w:val="000000"/>
                <w:sz w:val="18"/>
                <w:szCs w:val="18"/>
                <w:u w:val="none"/>
              </w:rPr>
            </w:pPr>
          </w:p>
        </w:tc>
      </w:tr>
      <w:tr w14:paraId="226EB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313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评价结论</w:t>
            </w:r>
          </w:p>
        </w:tc>
        <w:tc>
          <w:tcPr>
            <w:tcW w:w="8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AB86865">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项目自评总分100分，确保社保经办机构代管的省管森工企业离退休人员基本养老金按时足额发放，提升省管森工企业离退休人员社会化管理服务水平。2024年完成支付7.69万元，预算执行率100%。</w:t>
            </w:r>
          </w:p>
        </w:tc>
      </w:tr>
      <w:tr w14:paraId="6C556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D38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存在问题</w:t>
            </w:r>
          </w:p>
        </w:tc>
        <w:tc>
          <w:tcPr>
            <w:tcW w:w="8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C1BD90">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5CEB2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FA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改进措施</w:t>
            </w:r>
          </w:p>
        </w:tc>
        <w:tc>
          <w:tcPr>
            <w:tcW w:w="852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085EB6A">
            <w:pPr>
              <w:keepNext w:val="0"/>
              <w:keepLines w:val="0"/>
              <w:widowControl/>
              <w:suppressLineNumbers w:val="0"/>
              <w:jc w:val="left"/>
              <w:textAlignment w:val="center"/>
              <w:rPr>
                <w:rFonts w:hint="default" w:ascii="Times New Roman" w:hAnsi="Times New Roman" w:eastAsia="微软雅黑" w:cs="Times New Roman"/>
                <w:i w:val="0"/>
                <w:iCs w:val="0"/>
                <w:color w:val="000000"/>
                <w:sz w:val="16"/>
                <w:szCs w:val="16"/>
                <w:u w:val="none"/>
              </w:rPr>
            </w:pPr>
            <w:r>
              <w:rPr>
                <w:rFonts w:hint="default" w:ascii="Times New Roman" w:hAnsi="Times New Roman" w:eastAsia="微软雅黑" w:cs="Times New Roman"/>
                <w:i w:val="0"/>
                <w:iCs w:val="0"/>
                <w:color w:val="000000"/>
                <w:kern w:val="0"/>
                <w:sz w:val="16"/>
                <w:szCs w:val="16"/>
                <w:u w:val="none"/>
                <w:lang w:val="en-US" w:eastAsia="zh-CN" w:bidi="ar"/>
              </w:rPr>
              <w:t>无</w:t>
            </w:r>
          </w:p>
        </w:tc>
      </w:tr>
      <w:tr w14:paraId="72396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44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CB87AB">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项目负责人：高礼银</w:t>
            </w:r>
          </w:p>
        </w:tc>
        <w:tc>
          <w:tcPr>
            <w:tcW w:w="462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94AE01">
            <w:pPr>
              <w:keepNext w:val="0"/>
              <w:keepLines w:val="0"/>
              <w:widowControl/>
              <w:suppressLineNumbers w:val="0"/>
              <w:jc w:val="left"/>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财务负责人：毛嵩</w:t>
            </w:r>
          </w:p>
        </w:tc>
      </w:tr>
    </w:tbl>
    <w:p w14:paraId="04AA94CC">
      <w:pPr>
        <w:rPr>
          <w:rFonts w:hint="default" w:ascii="Times New Roman" w:hAnsi="Times New Roman" w:eastAsia="黑体" w:cs="Times New Roman"/>
          <w:color w:val="auto"/>
          <w:kern w:val="0"/>
          <w:sz w:val="32"/>
          <w:szCs w:val="32"/>
          <w:highlight w:val="none"/>
          <w:shd w:val="clear" w:color="auto" w:fill="FFFFFF"/>
          <w:lang w:val="zh-CN"/>
        </w:rPr>
      </w:pPr>
    </w:p>
    <w:p w14:paraId="3D89FA95">
      <w:pPr>
        <w:pStyle w:val="5"/>
        <w:rPr>
          <w:rFonts w:hint="default" w:ascii="Times New Roman" w:hAnsi="Times New Roman" w:eastAsia="黑体" w:cs="Times New Roman"/>
          <w:color w:val="auto"/>
          <w:kern w:val="0"/>
          <w:sz w:val="32"/>
          <w:szCs w:val="32"/>
          <w:highlight w:val="none"/>
          <w:shd w:val="clear" w:color="auto" w:fill="FFFFFF"/>
          <w:lang w:val="zh-CN"/>
        </w:rPr>
      </w:pPr>
    </w:p>
    <w:p w14:paraId="3BDB1C1B">
      <w:pPr>
        <w:pStyle w:val="5"/>
        <w:rPr>
          <w:rFonts w:hint="default" w:ascii="Times New Roman" w:hAnsi="Times New Roman" w:eastAsia="黑体" w:cs="Times New Roman"/>
          <w:color w:val="auto"/>
          <w:kern w:val="0"/>
          <w:sz w:val="32"/>
          <w:szCs w:val="32"/>
          <w:highlight w:val="none"/>
          <w:shd w:val="clear" w:color="auto" w:fill="FFFFFF"/>
          <w:lang w:val="zh-CN"/>
        </w:rPr>
      </w:pPr>
    </w:p>
    <w:p w14:paraId="57996CA9">
      <w:pPr>
        <w:pStyle w:val="5"/>
        <w:rPr>
          <w:rFonts w:hint="default" w:ascii="Times New Roman" w:hAnsi="Times New Roman" w:eastAsia="黑体" w:cs="Times New Roman"/>
          <w:color w:val="auto"/>
          <w:kern w:val="0"/>
          <w:sz w:val="32"/>
          <w:szCs w:val="32"/>
          <w:highlight w:val="none"/>
          <w:shd w:val="clear" w:color="auto" w:fill="FFFFFF"/>
          <w:lang w:val="zh-CN"/>
        </w:rPr>
      </w:pPr>
    </w:p>
    <w:p w14:paraId="0B55D02F">
      <w:pPr>
        <w:pStyle w:val="5"/>
        <w:rPr>
          <w:rFonts w:hint="default" w:ascii="Times New Roman" w:hAnsi="Times New Roman" w:eastAsia="黑体" w:cs="Times New Roman"/>
          <w:color w:val="auto"/>
          <w:kern w:val="0"/>
          <w:sz w:val="32"/>
          <w:szCs w:val="32"/>
          <w:highlight w:val="none"/>
          <w:shd w:val="clear" w:color="auto" w:fill="FFFFFF"/>
          <w:lang w:val="zh-CN"/>
        </w:rPr>
      </w:pPr>
    </w:p>
    <w:p w14:paraId="677A57DF">
      <w:pPr>
        <w:pStyle w:val="5"/>
        <w:rPr>
          <w:rFonts w:hint="default" w:ascii="Times New Roman" w:hAnsi="Times New Roman" w:eastAsia="黑体" w:cs="Times New Roman"/>
          <w:color w:val="auto"/>
          <w:kern w:val="0"/>
          <w:sz w:val="32"/>
          <w:szCs w:val="32"/>
          <w:highlight w:val="none"/>
          <w:shd w:val="clear" w:color="auto" w:fill="FFFFFF"/>
          <w:lang w:val="zh-CN"/>
        </w:rPr>
      </w:pPr>
    </w:p>
    <w:p w14:paraId="604E5792">
      <w:pPr>
        <w:pStyle w:val="5"/>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zh-CN"/>
        </w:rPr>
        <w:t>附件</w:t>
      </w:r>
      <w:r>
        <w:rPr>
          <w:rFonts w:hint="default" w:ascii="Times New Roman" w:hAnsi="Times New Roman" w:eastAsia="黑体" w:cs="Times New Roman"/>
          <w:color w:val="auto"/>
          <w:kern w:val="0"/>
          <w:sz w:val="32"/>
          <w:szCs w:val="32"/>
          <w:highlight w:val="none"/>
          <w:shd w:val="clear" w:color="auto" w:fill="FFFFFF"/>
          <w:lang w:val="en-US" w:eastAsia="zh-CN"/>
        </w:rPr>
        <w:t>2</w:t>
      </w:r>
    </w:p>
    <w:p w14:paraId="5B1D89E4">
      <w:pPr>
        <w:pStyle w:val="37"/>
        <w:spacing w:line="600" w:lineRule="exact"/>
        <w:jc w:val="center"/>
        <w:rPr>
          <w:rFonts w:hint="eastAsia" w:ascii="方正小标宋_GBK" w:hAnsi="方正小标宋_GBK" w:eastAsia="方正小标宋_GBK" w:cs="方正小标宋_GBK"/>
          <w:color w:val="auto"/>
          <w:kern w:val="2"/>
          <w:sz w:val="44"/>
          <w:szCs w:val="44"/>
        </w:rPr>
      </w:pPr>
    </w:p>
    <w:p w14:paraId="3C7CCCD7">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rPr>
        <w:t>攀枝花市社会保险事务中心</w:t>
      </w:r>
    </w:p>
    <w:p w14:paraId="0837BF6B">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lang w:val="en-US"/>
        </w:rPr>
        <w:t>202</w:t>
      </w:r>
      <w:r>
        <w:rPr>
          <w:rFonts w:hint="eastAsia" w:ascii="方正小标宋_GBK" w:hAnsi="方正小标宋_GBK" w:eastAsia="方正小标宋_GBK" w:cs="方正小标宋_GBK"/>
          <w:color w:val="auto"/>
          <w:kern w:val="2"/>
          <w:sz w:val="44"/>
          <w:szCs w:val="44"/>
          <w:lang w:val="en-US" w:eastAsia="zh-CN"/>
        </w:rPr>
        <w:t>4</w:t>
      </w:r>
      <w:r>
        <w:rPr>
          <w:rFonts w:hint="eastAsia" w:ascii="方正小标宋_GBK" w:hAnsi="方正小标宋_GBK" w:eastAsia="方正小标宋_GBK" w:cs="方正小标宋_GBK"/>
          <w:color w:val="auto"/>
          <w:kern w:val="2"/>
          <w:sz w:val="44"/>
          <w:szCs w:val="44"/>
          <w:lang w:val="en-US"/>
        </w:rPr>
        <w:t>年</w:t>
      </w:r>
      <w:r>
        <w:rPr>
          <w:rFonts w:hint="eastAsia" w:ascii="方正小标宋_GBK" w:hAnsi="方正小标宋_GBK" w:eastAsia="方正小标宋_GBK" w:cs="方正小标宋_GBK"/>
          <w:color w:val="auto"/>
          <w:kern w:val="2"/>
          <w:sz w:val="44"/>
          <w:szCs w:val="44"/>
          <w:lang w:val="en-US" w:eastAsia="zh-CN"/>
        </w:rPr>
        <w:t>入驻政务中心单位租金、物业费及水电费</w:t>
      </w:r>
      <w:r>
        <w:rPr>
          <w:rFonts w:hint="eastAsia" w:ascii="方正小标宋_GBK" w:hAnsi="方正小标宋_GBK" w:eastAsia="方正小标宋_GBK" w:cs="方正小标宋_GBK"/>
          <w:color w:val="auto"/>
          <w:kern w:val="2"/>
          <w:sz w:val="44"/>
          <w:szCs w:val="44"/>
        </w:rPr>
        <w:t>专项预算项目支出绩效自评报告</w:t>
      </w:r>
    </w:p>
    <w:p w14:paraId="48E43B05">
      <w:pPr>
        <w:pStyle w:val="37"/>
        <w:spacing w:line="600" w:lineRule="exact"/>
        <w:ind w:firstLine="640"/>
        <w:jc w:val="center"/>
        <w:rPr>
          <w:rFonts w:hint="default" w:ascii="Times New Roman" w:hAnsi="Times New Roman" w:cs="Times New Roman"/>
          <w:color w:val="auto"/>
          <w:kern w:val="2"/>
          <w:sz w:val="32"/>
          <w:szCs w:val="32"/>
        </w:rPr>
      </w:pPr>
    </w:p>
    <w:p w14:paraId="3E8A983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3D981A60">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14:paraId="1BC2497D">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zh-CN" w:eastAsia="zh-CN" w:bidi="ar-SA"/>
        </w:rPr>
        <w:t>说明项目单位在该项目管理中的职能。</w:t>
      </w:r>
    </w:p>
    <w:p w14:paraId="2F6F9AD4">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攀枝花市社会保险事务中心是“入驻政务中心单位租金、物业费及水电费”项目的实施主体，负责项目的实施、监督、管理等工作。攀枝花市社会保险事务中心主要职责为受理城镇应参加养老保险单位和个人的社会保险登记、申报管理。承担机关事业单位职业年金的征缴工作，承担养老保险管理工作。按规定核准和支付参保人员的养老保险待遇。建立和管理参保单位和个人缴费记录。开展与养老保险费征缴有关稽核工作。具体指导全市企业离退休人员社会化管理服务工作。负责组织实施全市机关事业单位养老保险社会统筹、制定和完善业务经办流程及内部控制管理制度、统一基金收支管理和离退休人员养老金发放。负责市本级机关事业单位参保登记、申报缴费、关系转移接续、个人账户和职业年金账户的建立管理、退休待遇核定、社会保险稽核和基金管理。指导各县（区）社保经办机构开展相关工作。承担工伤保险经办管理、市本级工伤保险单位行业风险类别及单位缴费率核定、编制工伤保险支付计划及劳动能力鉴定服务工作。负责指导全市工伤保险经办工作。组织实施全市工伤保险预防工作。</w:t>
      </w:r>
    </w:p>
    <w:p w14:paraId="50B92FA3">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zh-CN" w:eastAsia="zh-CN" w:bidi="ar-SA"/>
        </w:rPr>
        <w:t>项目立项、资金申报的依据。</w:t>
      </w:r>
    </w:p>
    <w:p w14:paraId="13248AE8">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default" w:ascii="Times New Roman" w:hAnsi="Times New Roman" w:eastAsia="仿宋_GB2312" w:cs="Times New Roman"/>
          <w:kern w:val="2"/>
          <w:sz w:val="32"/>
          <w:szCs w:val="32"/>
          <w:lang w:val="en-US" w:eastAsia="zh-CN" w:bidi="ar-SA"/>
        </w:rPr>
        <w:t>“入驻政务中心单位租金、物业费及水电费”</w:t>
      </w:r>
      <w:r>
        <w:rPr>
          <w:rFonts w:hint="default" w:ascii="Times New Roman" w:hAnsi="Times New Roman" w:eastAsia="仿宋_GB2312" w:cs="Times New Roman"/>
          <w:kern w:val="2"/>
          <w:sz w:val="32"/>
          <w:szCs w:val="32"/>
          <w:lang w:val="zh-CN" w:eastAsia="zh-CN" w:bidi="ar-SA"/>
        </w:rPr>
        <w:t>项目在</w:t>
      </w:r>
      <w:r>
        <w:rPr>
          <w:rFonts w:hint="default" w:ascii="Times New Roman" w:hAnsi="Times New Roman" w:eastAsia="仿宋_GB2312" w:cs="Times New Roman"/>
          <w:kern w:val="2"/>
          <w:sz w:val="32"/>
          <w:szCs w:val="32"/>
          <w:lang w:val="en-US" w:eastAsia="zh-CN" w:bidi="ar-SA"/>
        </w:rPr>
        <w:t>2024年</w:t>
      </w:r>
      <w:r>
        <w:rPr>
          <w:rFonts w:hint="default" w:ascii="Times New Roman" w:hAnsi="Times New Roman" w:eastAsia="仿宋_GB2312" w:cs="Times New Roman"/>
          <w:kern w:val="2"/>
          <w:sz w:val="32"/>
          <w:szCs w:val="32"/>
          <w:lang w:val="zh-CN" w:eastAsia="zh-CN" w:bidi="ar-SA"/>
        </w:rPr>
        <w:t>年初预算中申报，由市财政</w:t>
      </w:r>
      <w:r>
        <w:rPr>
          <w:rFonts w:hint="eastAsia" w:ascii="Times New Roman" w:hAnsi="Times New Roman" w:eastAsia="仿宋_GB2312" w:cs="Times New Roman"/>
          <w:kern w:val="2"/>
          <w:sz w:val="32"/>
          <w:szCs w:val="32"/>
          <w:lang w:val="en-US" w:eastAsia="zh-CN" w:bidi="ar-SA"/>
        </w:rPr>
        <w:t>局</w:t>
      </w:r>
      <w:r>
        <w:rPr>
          <w:rFonts w:hint="default" w:ascii="Times New Roman" w:hAnsi="Times New Roman" w:eastAsia="仿宋_GB2312" w:cs="Times New Roman"/>
          <w:kern w:val="2"/>
          <w:sz w:val="32"/>
          <w:szCs w:val="32"/>
          <w:lang w:val="zh-CN" w:eastAsia="zh-CN" w:bidi="ar-SA"/>
        </w:rPr>
        <w:t>批复。</w:t>
      </w:r>
    </w:p>
    <w:p w14:paraId="6FF3CB3B">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zh-CN" w:eastAsia="zh-CN" w:bidi="ar-SA"/>
        </w:rPr>
        <w:t>资金管理办法制定情况，资金支持具体项目的条件、范围与支持方式概况。</w:t>
      </w:r>
    </w:p>
    <w:p w14:paraId="0E349707">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为进一步规范资金管理，提高资金使用绩效，我单位制定了《攀枝花市社会保险事务中心大额资金管理制度》。</w:t>
      </w:r>
    </w:p>
    <w:p w14:paraId="7292F758">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zh-CN" w:eastAsia="zh-CN" w:bidi="ar-SA"/>
        </w:rPr>
        <w:t>资金分配的原则及考虑因素。</w:t>
      </w:r>
    </w:p>
    <w:p w14:paraId="15185BDB">
      <w:pPr>
        <w:pStyle w:val="16"/>
        <w:keepNext w:val="0"/>
        <w:keepLines w:val="0"/>
        <w:pageBreakBefore w:val="0"/>
        <w:widowControl/>
        <w:suppressLineNumbers w:val="0"/>
        <w:kinsoku/>
        <w:wordWrap/>
        <w:overflowPunct/>
        <w:topLinePunct w:val="0"/>
        <w:autoSpaceDE/>
        <w:autoSpaceDN/>
        <w:bidi w:val="0"/>
        <w:spacing w:line="600" w:lineRule="exac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cs="Times New Roman"/>
          <w:color w:val="FF0000"/>
          <w:sz w:val="32"/>
          <w:szCs w:val="32"/>
        </w:rPr>
        <w:t> </w:t>
      </w:r>
      <w:r>
        <w:rPr>
          <w:rFonts w:hint="eastAsia" w:ascii="Times New Roman" w:hAnsi="Times New Roman" w:cs="Times New Roman"/>
          <w:color w:val="FF0000"/>
          <w:sz w:val="32"/>
          <w:szCs w:val="32"/>
          <w:lang w:val="en-US" w:eastAsia="zh-CN"/>
        </w:rPr>
        <w:t xml:space="preserve">   </w:t>
      </w:r>
      <w:r>
        <w:rPr>
          <w:rFonts w:hint="default" w:ascii="Times New Roman" w:hAnsi="Times New Roman" w:eastAsia="仿宋_GB2312" w:cs="Times New Roman"/>
          <w:kern w:val="2"/>
          <w:sz w:val="32"/>
          <w:szCs w:val="32"/>
          <w:lang w:val="en-US" w:eastAsia="zh-CN" w:bidi="ar-SA"/>
        </w:rPr>
        <w:t>根据单位进驻人数，租金按照办公面积40元/平·年计算，物业费按照1000元/人计算，水电费按照1071元/人·年计算。</w:t>
      </w:r>
    </w:p>
    <w:p w14:paraId="346CCCF6">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4D32F922">
      <w:pPr>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kern w:val="2"/>
          <w:sz w:val="32"/>
          <w:szCs w:val="32"/>
          <w:lang w:val="zh-CN" w:eastAsia="zh-CN" w:bidi="ar-SA"/>
        </w:rPr>
      </w:pPr>
      <w:r>
        <w:rPr>
          <w:rFonts w:hint="eastAsia"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zh-CN" w:eastAsia="zh-CN" w:bidi="ar-SA"/>
        </w:rPr>
        <w:t>项目主要内容。</w:t>
      </w:r>
    </w:p>
    <w:p w14:paraId="0B17CE70">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“入驻政务中心单位租金、物业费及水电费”</w:t>
      </w:r>
      <w:r>
        <w:rPr>
          <w:rFonts w:hint="default" w:ascii="Times New Roman" w:hAnsi="Times New Roman" w:eastAsia="仿宋_GB2312" w:cs="Times New Roman"/>
          <w:kern w:val="0"/>
          <w:sz w:val="32"/>
          <w:szCs w:val="32"/>
          <w:lang w:eastAsia="zh-CN"/>
        </w:rPr>
        <w:t>项目资金</w:t>
      </w:r>
      <w:r>
        <w:rPr>
          <w:rFonts w:hint="default" w:ascii="Times New Roman" w:hAnsi="Times New Roman" w:eastAsia="仿宋_GB2312" w:cs="Times New Roman"/>
          <w:sz w:val="32"/>
          <w:szCs w:val="32"/>
        </w:rPr>
        <w:t>主要用于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rPr>
        <w:t>市</w:t>
      </w:r>
      <w:r>
        <w:rPr>
          <w:rFonts w:hint="default" w:ascii="Times New Roman" w:hAnsi="Times New Roman" w:eastAsia="仿宋_GB2312" w:cs="Times New Roman"/>
          <w:color w:val="auto"/>
          <w:sz w:val="32"/>
          <w:szCs w:val="32"/>
        </w:rPr>
        <w:t>社会保险事务中心支</w:t>
      </w:r>
      <w:r>
        <w:rPr>
          <w:rFonts w:hint="default" w:ascii="Times New Roman" w:hAnsi="Times New Roman" w:eastAsia="仿宋_GB2312" w:cs="Times New Roman"/>
          <w:sz w:val="32"/>
          <w:szCs w:val="32"/>
        </w:rPr>
        <w:t>付入驻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政务中心单位租金、物业费及水电费</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保障单位正常运转</w:t>
      </w:r>
      <w:r>
        <w:rPr>
          <w:rFonts w:hint="default" w:ascii="Times New Roman" w:hAnsi="Times New Roman" w:cs="Times New Roman"/>
          <w:sz w:val="32"/>
          <w:szCs w:val="32"/>
          <w:lang w:eastAsia="zh-CN"/>
        </w:rPr>
        <w:t>。</w:t>
      </w:r>
    </w:p>
    <w:p w14:paraId="76FB574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rPr>
        <w:t>项目应实现的具体绩效目标，包括目标的量化、细</w:t>
      </w:r>
      <w:r>
        <w:rPr>
          <w:rFonts w:hint="eastAsia" w:eastAsia="仿宋_GB2312" w:cs="Times New Roman"/>
          <w:sz w:val="32"/>
          <w:szCs w:val="32"/>
          <w:lang w:val="en-US" w:eastAsia="zh-CN"/>
        </w:rPr>
        <w:t>化</w:t>
      </w:r>
      <w:r>
        <w:rPr>
          <w:rFonts w:hint="default" w:ascii="Times New Roman" w:hAnsi="Times New Roman" w:eastAsia="仿宋_GB2312" w:cs="Times New Roman"/>
          <w:sz w:val="32"/>
          <w:szCs w:val="32"/>
          <w:lang w:val="zh-CN"/>
        </w:rPr>
        <w:t>情况以及项目实施进度计划等。</w:t>
      </w:r>
    </w:p>
    <w:p w14:paraId="39A3FB0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）数量指标：入驻</w:t>
      </w:r>
      <w:r>
        <w:rPr>
          <w:rFonts w:hint="eastAsia"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政务中心单位租金、物业费及水电费797876.4元</w:t>
      </w:r>
      <w:r>
        <w:rPr>
          <w:rFonts w:hint="default" w:ascii="Times New Roman" w:hAnsi="Times New Roman" w:eastAsia="仿宋_GB2312" w:cs="Times New Roman"/>
          <w:sz w:val="32"/>
          <w:szCs w:val="32"/>
          <w:lang w:val="en-US" w:eastAsia="zh-CN"/>
        </w:rPr>
        <w:t>/年。</w:t>
      </w:r>
    </w:p>
    <w:p w14:paraId="639335B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）质量指标：按时全额缴纳</w:t>
      </w:r>
      <w:r>
        <w:rPr>
          <w:rFonts w:hint="default" w:ascii="Times New Roman" w:hAnsi="Times New Roman" w:eastAsia="仿宋_GB2312" w:cs="Times New Roman"/>
          <w:sz w:val="32"/>
          <w:szCs w:val="32"/>
          <w:lang w:val="en-US" w:eastAsia="zh-CN"/>
        </w:rPr>
        <w:t>。</w:t>
      </w:r>
    </w:p>
    <w:p w14:paraId="09C0BCF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（3）时效指标：1年内完成。</w:t>
      </w:r>
    </w:p>
    <w:p w14:paraId="116001B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）成本指标：入驻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政务中心单位租金、物业费及水电费797876.4元</w:t>
      </w:r>
      <w:r>
        <w:rPr>
          <w:rFonts w:hint="default"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lang w:val="zh-CN" w:eastAsia="zh-CN"/>
        </w:rPr>
        <w:t>。</w:t>
      </w:r>
    </w:p>
    <w:p w14:paraId="1DA0AD6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zh-CN" w:eastAsia="zh-CN"/>
        </w:rPr>
        <w:t>）社会效益指标：保障单位正常运转。</w:t>
      </w:r>
    </w:p>
    <w:p w14:paraId="1250E63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zh-CN" w:eastAsia="zh-CN"/>
        </w:rPr>
        <w:t>）满意度指标：物业公司满意度达到满意。</w:t>
      </w:r>
    </w:p>
    <w:p w14:paraId="03592FA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分析评价申报内容是否与实际相符，申报目标是否合理可行。</w:t>
      </w:r>
    </w:p>
    <w:p w14:paraId="333EBA88">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市社会保险事务中心按照20</w:t>
      </w:r>
      <w:r>
        <w:rPr>
          <w:rFonts w:hint="default"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lang w:val="zh-CN" w:eastAsia="zh-CN"/>
        </w:rPr>
        <w:t>年目标任务制定绩效目标，申报内容与实际相符，申报目标合理可行。</w:t>
      </w:r>
    </w:p>
    <w:p w14:paraId="36F5295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14:paraId="4ADFB37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市社会保险事务中心项目绩效评价按照前期准备阶段、自评阶段、实施评价阶段、报告撰写阶段、结果运用阶段五个阶段的工作流程。办公室成立项目评价小组对项目资金执行情况进行自查自评。</w:t>
      </w:r>
    </w:p>
    <w:p w14:paraId="341995D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20C81DB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“入驻政务中心单位租金、物业费及水电费”项目资金共</w:t>
      </w:r>
      <w:r>
        <w:rPr>
          <w:rFonts w:hint="default" w:ascii="Times New Roman" w:hAnsi="Times New Roman" w:eastAsia="仿宋_GB2312" w:cs="Times New Roman"/>
          <w:sz w:val="32"/>
          <w:szCs w:val="32"/>
          <w:lang w:val="en-US" w:eastAsia="zh-CN"/>
        </w:rPr>
        <w:t>79.79</w:t>
      </w:r>
      <w:r>
        <w:rPr>
          <w:rFonts w:hint="default" w:ascii="Times New Roman" w:hAnsi="Times New Roman" w:eastAsia="仿宋_GB2312" w:cs="Times New Roman"/>
          <w:sz w:val="32"/>
          <w:szCs w:val="32"/>
          <w:lang w:val="zh-CN" w:eastAsia="zh-CN"/>
        </w:rPr>
        <w:t>万元，资金支付完成100%。</w:t>
      </w:r>
    </w:p>
    <w:p w14:paraId="1EB1285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14:paraId="3B05EE2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“入驻政务中心单位租金、物业费及水电费”项目资金由市级财政下拨，</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市社会保险事务中心在“预算管理一体化系统”中申报项目资金，市级财政完成批复并下达指标。</w:t>
      </w:r>
    </w:p>
    <w:p w14:paraId="02D14CB4">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w:t>
      </w:r>
    </w:p>
    <w:p w14:paraId="3FEBE0E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资金计划。</w:t>
      </w:r>
    </w:p>
    <w:p w14:paraId="1B16143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79.79</w:t>
      </w:r>
      <w:r>
        <w:rPr>
          <w:rFonts w:hint="default" w:ascii="Times New Roman" w:hAnsi="Times New Roman" w:eastAsia="仿宋_GB2312" w:cs="Times New Roman"/>
          <w:sz w:val="32"/>
          <w:szCs w:val="32"/>
          <w:lang w:val="zh-CN" w:eastAsia="zh-CN"/>
        </w:rPr>
        <w:t>万元，用于支付入驻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政务中心单位租金、物业费及水电费，保障单位正常运转。</w:t>
      </w:r>
    </w:p>
    <w:p w14:paraId="24D65C60">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资金到位。</w:t>
      </w:r>
    </w:p>
    <w:p w14:paraId="4A297A3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79.79</w:t>
      </w:r>
      <w:r>
        <w:rPr>
          <w:rFonts w:hint="default" w:ascii="Times New Roman" w:hAnsi="Times New Roman" w:eastAsia="仿宋_GB2312" w:cs="Times New Roman"/>
          <w:sz w:val="32"/>
          <w:szCs w:val="32"/>
          <w:lang w:val="zh-CN" w:eastAsia="zh-CN"/>
        </w:rPr>
        <w:t>万元，于202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年中由市级财政批复并下达预算指标，到位率100%。</w:t>
      </w:r>
    </w:p>
    <w:p w14:paraId="175D396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资金使用。</w:t>
      </w:r>
    </w:p>
    <w:p w14:paraId="6DA6C1E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此项目资金主要用于支付入驻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zh-CN" w:eastAsia="zh-CN"/>
        </w:rPr>
        <w:t>政务中心单位租金、物业费及水电费。此项目资金到位后，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市社会保险事务中心严格按财经纪律、财务管理等相关规定，严格审核各项支出，及时支付，专款专用，资金支付完成100%。</w:t>
      </w:r>
    </w:p>
    <w:p w14:paraId="4F2045E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14:paraId="4BF52E2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市社会保险事务中心建立了财务管理制度，由办公室统一管理</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zh-CN" w:eastAsia="zh-CN"/>
        </w:rPr>
        <w:t>“社保公共服务能力建设资金”项目资金，严格按照上级要求上报资金使用计划，并在实施过程中做到资金专项专用。所有支出严格按照财务会计管理规定，做到资金使用有计划、审批有手续、支出合理规范。并及时进行账务处理和会计核算，按财政要求及时编制和公开项目资金绩效目标。</w:t>
      </w:r>
    </w:p>
    <w:p w14:paraId="48EA5F6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3DB3F30E">
      <w:pPr>
        <w:keepNext w:val="0"/>
        <w:keepLines w:val="0"/>
        <w:pageBreakBefore w:val="0"/>
        <w:numPr>
          <w:ilvl w:val="0"/>
          <w:numId w:val="3"/>
        </w:numPr>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项目组织架构及实施流程</w:t>
      </w:r>
    </w:p>
    <w:p w14:paraId="22010A3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办公室在部门预算中申报项目资金，并制定绩效目标；按照项目执行情况在“预算管理一体化系统”中完成资金的申请和支付。</w:t>
      </w:r>
      <w:r>
        <w:rPr>
          <w:rFonts w:hint="default" w:ascii="Times New Roman" w:hAnsi="Times New Roman" w:eastAsia="仿宋_GB2312" w:cs="Times New Roman"/>
          <w:sz w:val="32"/>
          <w:szCs w:val="32"/>
          <w:lang w:val="en-US" w:eastAsia="zh-CN"/>
        </w:rPr>
        <w:t>稽核科成立项目督导检查工作小组，不定期对项目执行进度情况进行督导检查</w:t>
      </w:r>
      <w:r>
        <w:rPr>
          <w:rFonts w:hint="default" w:ascii="Times New Roman" w:hAnsi="Times New Roman" w:eastAsia="仿宋_GB2312" w:cs="Times New Roman"/>
          <w:sz w:val="32"/>
          <w:szCs w:val="32"/>
          <w:lang w:val="zh-CN" w:eastAsia="zh-CN"/>
        </w:rPr>
        <w:t>。</w:t>
      </w:r>
    </w:p>
    <w:p w14:paraId="631BA098">
      <w:pPr>
        <w:keepNext w:val="0"/>
        <w:keepLines w:val="0"/>
        <w:pageBreakBefore w:val="0"/>
        <w:numPr>
          <w:ilvl w:val="0"/>
          <w:numId w:val="3"/>
        </w:numPr>
        <w:kinsoku/>
        <w:wordWrap/>
        <w:overflowPunct/>
        <w:topLinePunct w:val="0"/>
        <w:autoSpaceDE/>
        <w:autoSpaceDN/>
        <w:bidi w:val="0"/>
        <w:adjustRightInd w:val="0"/>
        <w:snapToGrid w:val="0"/>
        <w:spacing w:line="600" w:lineRule="exact"/>
        <w:ind w:left="0" w:leftChars="0" w:firstLine="720" w:firstLineChars="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项目管理情况</w:t>
      </w:r>
    </w:p>
    <w:p w14:paraId="0AD4BD08">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市社会保险事务中心严格按财经纪律、财务管理等相关规定，严格审核，及时支付，专款专用。</w:t>
      </w:r>
    </w:p>
    <w:p w14:paraId="4B12DA28">
      <w:pPr>
        <w:keepNext w:val="0"/>
        <w:keepLines w:val="0"/>
        <w:pageBreakBefore w:val="0"/>
        <w:numPr>
          <w:ilvl w:val="0"/>
          <w:numId w:val="0"/>
        </w:numPr>
        <w:kinsoku/>
        <w:wordWrap/>
        <w:overflowPunct/>
        <w:topLinePunct w:val="0"/>
        <w:autoSpaceDE/>
        <w:autoSpaceDN/>
        <w:bidi w:val="0"/>
        <w:adjustRightInd w:val="0"/>
        <w:snapToGrid w:val="0"/>
        <w:spacing w:line="600" w:lineRule="exact"/>
        <w:ind w:left="720" w:leftChars="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（三）项目监管情况</w:t>
      </w:r>
    </w:p>
    <w:p w14:paraId="0D7220A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市社会保险事务中心稽核</w:t>
      </w:r>
      <w:r>
        <w:rPr>
          <w:rFonts w:hint="eastAsia" w:ascii="Times New Roman" w:hAnsi="Times New Roman" w:eastAsia="仿宋_GB2312" w:cs="Times New Roman"/>
          <w:sz w:val="32"/>
          <w:szCs w:val="32"/>
          <w:lang w:val="en-US" w:eastAsia="zh-CN"/>
        </w:rPr>
        <w:t>风控</w:t>
      </w:r>
      <w:r>
        <w:rPr>
          <w:rFonts w:hint="default" w:ascii="Times New Roman" w:hAnsi="Times New Roman" w:eastAsia="仿宋_GB2312" w:cs="Times New Roman"/>
          <w:sz w:val="32"/>
          <w:szCs w:val="32"/>
          <w:lang w:val="en-US" w:eastAsia="zh-CN"/>
        </w:rPr>
        <w:t>科成立项目督导检查工作小组，不定期对项目执行进度情况进行督导检查，对检查过程中发现的问题及时督促整改，确保了项目按时保质完成。</w:t>
      </w:r>
    </w:p>
    <w:p w14:paraId="1A0E41B6">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2E34B6B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501C3F4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“入驻政务中心单位租金、物业费及水电费”项目在当期完成了项目的总体实施，执行率100%。</w:t>
      </w:r>
    </w:p>
    <w:p w14:paraId="6C536A3C">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（1）数量指标：入驻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政务中心单位租金、物业费及水电费797876.4元/年。</w:t>
      </w:r>
    </w:p>
    <w:p w14:paraId="1498BB1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（2）质量指标：按时全额缴纳。</w:t>
      </w:r>
    </w:p>
    <w:p w14:paraId="7E3D057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（3）时效指标：1年内完成。</w:t>
      </w:r>
    </w:p>
    <w:p w14:paraId="35C69C4B">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（4）成本指标：入驻</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lang w:val="en-US" w:eastAsia="zh-CN"/>
        </w:rPr>
        <w:t>政务中心单位租金、物业费及水电费797876.4元/年。</w:t>
      </w:r>
    </w:p>
    <w:p w14:paraId="78C082B5">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（5）社会效益指标：保障单位正常运转。</w:t>
      </w:r>
    </w:p>
    <w:p w14:paraId="00FC4BD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（6）满意度指标：物业公司满意度达到满意。</w:t>
      </w:r>
    </w:p>
    <w:p w14:paraId="1809DE9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295BCD90">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 xml:space="preserve">通过 </w:t>
      </w:r>
      <w:r>
        <w:rPr>
          <w:rFonts w:hint="default" w:ascii="Times New Roman" w:hAnsi="Times New Roman" w:eastAsia="仿宋_GB2312" w:cs="Times New Roman"/>
          <w:sz w:val="32"/>
          <w:szCs w:val="32"/>
          <w:lang w:val="zh-CN"/>
        </w:rPr>
        <w:t>“入驻政务中心单位租金、物业费及水电费”</w:t>
      </w:r>
      <w:r>
        <w:rPr>
          <w:rFonts w:hint="default" w:ascii="Times New Roman" w:hAnsi="Times New Roman" w:eastAsia="仿宋_GB2312" w:cs="Times New Roman"/>
          <w:sz w:val="32"/>
          <w:szCs w:val="32"/>
          <w:lang w:val="zh-CN" w:eastAsia="zh-CN"/>
        </w:rPr>
        <w:t>项目</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lang w:val="zh-CN" w:eastAsia="zh-CN"/>
        </w:rPr>
        <w:t>保障了单位正常运转，能更换的</w:t>
      </w:r>
      <w:r>
        <w:rPr>
          <w:rFonts w:hint="default" w:ascii="Times New Roman" w:hAnsi="Times New Roman" w:eastAsia="仿宋_GB2312" w:cs="Times New Roman"/>
          <w:sz w:val="32"/>
          <w:szCs w:val="32"/>
          <w:lang w:val="en-US" w:eastAsia="zh-CN"/>
        </w:rPr>
        <w:t>为参保人员提供社保服务</w:t>
      </w:r>
      <w:r>
        <w:rPr>
          <w:rFonts w:hint="default" w:ascii="Times New Roman" w:hAnsi="Times New Roman" w:eastAsia="仿宋_GB2312" w:cs="Times New Roman"/>
          <w:sz w:val="32"/>
          <w:szCs w:val="32"/>
          <w:lang w:val="zh-CN" w:eastAsia="zh-CN"/>
        </w:rPr>
        <w:t>。</w:t>
      </w:r>
    </w:p>
    <w:p w14:paraId="4A66BE3C">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0AD2235E">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14:paraId="27D33CA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rPr>
        <w:t>“入驻政务中心单位租金、物业费及水电费”</w:t>
      </w:r>
      <w:r>
        <w:rPr>
          <w:rFonts w:hint="default" w:ascii="Times New Roman" w:hAnsi="Times New Roman" w:cs="Times New Roman"/>
          <w:sz w:val="32"/>
          <w:szCs w:val="32"/>
          <w:lang w:val="zh-CN"/>
        </w:rPr>
        <w:t>项目</w:t>
      </w:r>
      <w:r>
        <w:rPr>
          <w:rFonts w:hint="default" w:ascii="Times New Roman" w:hAnsi="Times New Roman" w:eastAsia="仿宋_GB2312" w:cs="Times New Roman"/>
          <w:sz w:val="32"/>
          <w:szCs w:val="32"/>
        </w:rPr>
        <w:t>在当期完成了</w:t>
      </w:r>
      <w:r>
        <w:rPr>
          <w:rFonts w:hint="default" w:ascii="Times New Roman" w:hAnsi="Times New Roman" w:eastAsia="仿宋_GB2312" w:cs="Times New Roman"/>
          <w:kern w:val="0"/>
          <w:sz w:val="32"/>
          <w:szCs w:val="32"/>
          <w:lang w:eastAsia="zh-CN"/>
        </w:rPr>
        <w:t>全部缴纳</w:t>
      </w:r>
      <w:r>
        <w:rPr>
          <w:rFonts w:hint="default" w:ascii="Times New Roman" w:hAnsi="Times New Roman" w:eastAsia="仿宋_GB2312" w:cs="Times New Roman"/>
          <w:kern w:val="0"/>
          <w:sz w:val="32"/>
          <w:szCs w:val="32"/>
        </w:rPr>
        <w:t>，执行率100%。保障了</w:t>
      </w:r>
      <w:r>
        <w:rPr>
          <w:rFonts w:hint="eastAsia" w:ascii="Times New Roman" w:hAnsi="Times New Roman" w:eastAsia="仿宋_GB2312" w:cs="Times New Roman"/>
          <w:kern w:val="0"/>
          <w:sz w:val="32"/>
          <w:szCs w:val="32"/>
          <w:lang w:val="en-US" w:eastAsia="zh-CN"/>
        </w:rPr>
        <w:t>攀枝花</w:t>
      </w:r>
      <w:r>
        <w:rPr>
          <w:rFonts w:hint="default" w:ascii="Times New Roman" w:hAnsi="Times New Roman" w:eastAsia="仿宋_GB2312" w:cs="Times New Roman"/>
          <w:kern w:val="0"/>
          <w:sz w:val="32"/>
          <w:szCs w:val="32"/>
        </w:rPr>
        <w:t>市社会保险事务中心</w:t>
      </w:r>
      <w:r>
        <w:rPr>
          <w:rFonts w:hint="default" w:ascii="Times New Roman" w:hAnsi="Times New Roman" w:eastAsia="仿宋_GB2312" w:cs="Times New Roman"/>
          <w:kern w:val="0"/>
          <w:sz w:val="32"/>
          <w:szCs w:val="32"/>
          <w:lang w:eastAsia="zh-CN"/>
        </w:rPr>
        <w:t>工作正常开展</w:t>
      </w:r>
      <w:r>
        <w:rPr>
          <w:rFonts w:hint="default" w:ascii="Times New Roman" w:hAnsi="Times New Roman" w:eastAsia="仿宋_GB2312" w:cs="Times New Roman"/>
          <w:kern w:val="0"/>
          <w:sz w:val="32"/>
          <w:szCs w:val="32"/>
          <w:lang w:val="zh-CN"/>
        </w:rPr>
        <w:t>。</w:t>
      </w:r>
    </w:p>
    <w:p w14:paraId="23D5E3B6">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14:paraId="3C208707">
      <w:pPr>
        <w:keepNext w:val="0"/>
        <w:keepLines w:val="0"/>
        <w:pageBreakBefore w:val="0"/>
        <w:kinsoku/>
        <w:wordWrap/>
        <w:overflowPunct/>
        <w:topLinePunct w:val="0"/>
        <w:autoSpaceDE/>
        <w:autoSpaceDN/>
        <w:bidi w:val="0"/>
        <w:spacing w:line="600" w:lineRule="exact"/>
        <w:ind w:firstLine="960" w:firstLineChars="3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53655A48">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14:paraId="656E333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仿宋_GB2312" w:cs="Times New Roman"/>
          <w:sz w:val="32"/>
          <w:szCs w:val="32"/>
        </w:rPr>
        <w:t>强化预算资金精细化管理，提高预算资金科学性、合理性。严格根据相关标准和依据，进行资金使用，确保资金使用效益。</w:t>
      </w:r>
    </w:p>
    <w:p w14:paraId="0E993BF6">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60DED1C4">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38D9DEAA">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67E8CE5C">
      <w:pPr>
        <w:pStyle w:val="5"/>
        <w:keepNext w:val="0"/>
        <w:keepLines w:val="0"/>
        <w:pageBreakBefore w:val="0"/>
        <w:kinsoku/>
        <w:wordWrap/>
        <w:overflowPunct/>
        <w:topLinePunct w:val="0"/>
        <w:autoSpaceDE/>
        <w:autoSpaceDN/>
        <w:bidi w:val="0"/>
        <w:spacing w:beforeLines="0" w:line="600" w:lineRule="exact"/>
        <w:textAlignment w:val="auto"/>
        <w:rPr>
          <w:rFonts w:hint="default" w:ascii="Times New Roman" w:hAnsi="Times New Roman" w:eastAsia="黑体" w:cs="Times New Roman"/>
          <w:color w:val="auto"/>
          <w:kern w:val="0"/>
          <w:sz w:val="32"/>
          <w:szCs w:val="32"/>
          <w:highlight w:val="none"/>
          <w:shd w:val="clear" w:color="auto" w:fill="FFFFFF"/>
          <w:lang w:val="en-US" w:eastAsia="zh-CN"/>
        </w:rPr>
      </w:pPr>
    </w:p>
    <w:p w14:paraId="27B0D0C9">
      <w:pPr>
        <w:pStyle w:val="5"/>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zh-CN"/>
        </w:rPr>
        <w:t>附件</w:t>
      </w:r>
      <w:r>
        <w:rPr>
          <w:rFonts w:hint="eastAsia" w:ascii="Times New Roman" w:eastAsia="黑体" w:cs="Times New Roman"/>
          <w:color w:val="auto"/>
          <w:kern w:val="0"/>
          <w:sz w:val="32"/>
          <w:szCs w:val="32"/>
          <w:highlight w:val="none"/>
          <w:shd w:val="clear" w:color="auto" w:fill="FFFFFF"/>
          <w:lang w:val="en-US" w:eastAsia="zh-CN"/>
        </w:rPr>
        <w:t>3</w:t>
      </w:r>
    </w:p>
    <w:p w14:paraId="0FDF8107">
      <w:pPr>
        <w:pStyle w:val="37"/>
        <w:spacing w:line="600" w:lineRule="exact"/>
        <w:jc w:val="center"/>
        <w:rPr>
          <w:rFonts w:hint="default" w:ascii="Times New Roman" w:hAnsi="Times New Roman" w:eastAsia="方正小标宋简体" w:cs="Times New Roman"/>
          <w:color w:val="auto"/>
          <w:kern w:val="2"/>
          <w:sz w:val="40"/>
          <w:szCs w:val="40"/>
        </w:rPr>
      </w:pPr>
    </w:p>
    <w:p w14:paraId="2DA3119D">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rPr>
        <w:t>攀枝花市社会保险事务中心</w:t>
      </w:r>
    </w:p>
    <w:p w14:paraId="2EF412C4">
      <w:pPr>
        <w:pStyle w:val="37"/>
        <w:spacing w:line="600" w:lineRule="exact"/>
        <w:jc w:val="center"/>
        <w:rPr>
          <w:rFonts w:hint="eastAsia" w:ascii="方正小标宋_GBK" w:hAnsi="方正小标宋_GBK" w:eastAsia="方正小标宋_GBK" w:cs="方正小标宋_GBK"/>
          <w:color w:val="auto"/>
          <w:kern w:val="2"/>
          <w:sz w:val="44"/>
          <w:szCs w:val="44"/>
          <w:lang w:val="en-US"/>
        </w:rPr>
      </w:pPr>
      <w:r>
        <w:rPr>
          <w:rFonts w:hint="eastAsia" w:ascii="方正小标宋_GBK" w:hAnsi="方正小标宋_GBK" w:eastAsia="方正小标宋_GBK" w:cs="方正小标宋_GBK"/>
          <w:color w:val="auto"/>
          <w:kern w:val="2"/>
          <w:sz w:val="44"/>
          <w:szCs w:val="44"/>
          <w:lang w:val="en-US"/>
        </w:rPr>
        <w:t>202</w:t>
      </w:r>
      <w:r>
        <w:rPr>
          <w:rFonts w:hint="eastAsia" w:ascii="方正小标宋_GBK" w:hAnsi="方正小标宋_GBK" w:eastAsia="方正小标宋_GBK" w:cs="方正小标宋_GBK"/>
          <w:color w:val="auto"/>
          <w:kern w:val="2"/>
          <w:sz w:val="44"/>
          <w:szCs w:val="44"/>
          <w:lang w:val="en-US" w:eastAsia="zh-CN"/>
        </w:rPr>
        <w:t>4</w:t>
      </w:r>
      <w:r>
        <w:rPr>
          <w:rFonts w:hint="eastAsia" w:ascii="方正小标宋_GBK" w:hAnsi="方正小标宋_GBK" w:eastAsia="方正小标宋_GBK" w:cs="方正小标宋_GBK"/>
          <w:color w:val="auto"/>
          <w:kern w:val="2"/>
          <w:sz w:val="44"/>
          <w:szCs w:val="44"/>
          <w:lang w:val="en-US"/>
        </w:rPr>
        <w:t>年</w:t>
      </w:r>
      <w:r>
        <w:rPr>
          <w:rFonts w:hint="eastAsia" w:ascii="方正小标宋_GBK" w:hAnsi="方正小标宋_GBK" w:eastAsia="方正小标宋_GBK" w:cs="方正小标宋_GBK"/>
          <w:color w:val="auto"/>
          <w:kern w:val="2"/>
          <w:sz w:val="44"/>
          <w:szCs w:val="44"/>
          <w:lang w:val="en-US" w:eastAsia="zh-CN"/>
        </w:rPr>
        <w:t>省级</w:t>
      </w:r>
      <w:r>
        <w:rPr>
          <w:rFonts w:hint="eastAsia" w:ascii="方正小标宋_GBK" w:hAnsi="方正小标宋_GBK" w:eastAsia="方正小标宋_GBK" w:cs="方正小标宋_GBK"/>
          <w:color w:val="auto"/>
          <w:kern w:val="2"/>
          <w:sz w:val="44"/>
          <w:szCs w:val="44"/>
        </w:rPr>
        <w:t>社保公共服务能力建设资金</w:t>
      </w:r>
    </w:p>
    <w:p w14:paraId="4CBD6F27">
      <w:pPr>
        <w:pStyle w:val="37"/>
        <w:spacing w:line="600" w:lineRule="exact"/>
        <w:jc w:val="center"/>
        <w:rPr>
          <w:rFonts w:hint="eastAsia" w:ascii="方正小标宋_GBK" w:hAnsi="方正小标宋_GBK" w:eastAsia="方正小标宋_GBK" w:cs="方正小标宋_GBK"/>
          <w:color w:val="auto"/>
          <w:kern w:val="2"/>
          <w:sz w:val="44"/>
          <w:szCs w:val="44"/>
        </w:rPr>
      </w:pPr>
      <w:r>
        <w:rPr>
          <w:rFonts w:hint="eastAsia" w:ascii="方正小标宋_GBK" w:hAnsi="方正小标宋_GBK" w:eastAsia="方正小标宋_GBK" w:cs="方正小标宋_GBK"/>
          <w:color w:val="auto"/>
          <w:kern w:val="2"/>
          <w:sz w:val="44"/>
          <w:szCs w:val="44"/>
        </w:rPr>
        <w:t>专项预算项目支出绩效自评报告</w:t>
      </w:r>
    </w:p>
    <w:p w14:paraId="30952D9C">
      <w:pPr>
        <w:pStyle w:val="37"/>
        <w:spacing w:line="600" w:lineRule="exact"/>
        <w:ind w:firstLine="640"/>
        <w:jc w:val="center"/>
        <w:rPr>
          <w:rFonts w:hint="default" w:ascii="Times New Roman" w:hAnsi="Times New Roman" w:cs="Times New Roman"/>
          <w:color w:val="auto"/>
          <w:kern w:val="2"/>
          <w:sz w:val="32"/>
          <w:szCs w:val="32"/>
        </w:rPr>
      </w:pPr>
    </w:p>
    <w:p w14:paraId="310C004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5E27B5F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14:paraId="48831D7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zh-CN"/>
        </w:rPr>
        <w:t>说明项目单位在该项目管理中的职能。</w:t>
      </w:r>
    </w:p>
    <w:p w14:paraId="5FCD7A7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攀枝花市社会保险事务中心是“社保公共服务能力建设资金”项目的实施主体，负责项目的实施、监督、管理等工作。</w:t>
      </w:r>
      <w:r>
        <w:rPr>
          <w:rFonts w:hint="default" w:ascii="Times New Roman" w:hAnsi="Times New Roman" w:eastAsia="仿宋_GB2312" w:cs="Times New Roman"/>
          <w:sz w:val="32"/>
          <w:szCs w:val="32"/>
          <w:lang w:val="en-US" w:eastAsia="zh-CN"/>
        </w:rPr>
        <w:t>承担</w:t>
      </w:r>
      <w:r>
        <w:rPr>
          <w:rFonts w:hint="default" w:ascii="Times New Roman" w:hAnsi="Times New Roman" w:eastAsia="仿宋_GB2312" w:cs="Times New Roman"/>
          <w:sz w:val="32"/>
          <w:szCs w:val="32"/>
          <w:lang w:eastAsia="zh-CN"/>
        </w:rPr>
        <w:t>城镇应参加企业养老保险单位和个人的社会保险登记、申报管理，建立和管理参保单位和个人缴费记录，按规定核准和支付参保人员的养老保险待遇开展与养老保险费征缴有关稽核工作，指导各县（区）社保经办机构开展相关工作。</w:t>
      </w:r>
    </w:p>
    <w:p w14:paraId="6CAD2C6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rPr>
        <w:t>项目立项、资金申报的依据。</w:t>
      </w:r>
    </w:p>
    <w:p w14:paraId="4CD4511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“社保公共服务能力建设资金”</w:t>
      </w:r>
      <w:r>
        <w:rPr>
          <w:rFonts w:hint="default" w:ascii="Times New Roman" w:hAnsi="Times New Roman" w:eastAsia="仿宋_GB2312" w:cs="Times New Roman"/>
          <w:sz w:val="32"/>
          <w:szCs w:val="32"/>
          <w:lang w:val="en-US" w:eastAsia="zh-CN"/>
        </w:rPr>
        <w:t>项目设立原因及背景、</w:t>
      </w:r>
      <w:r>
        <w:rPr>
          <w:rFonts w:hint="default" w:ascii="Times New Roman" w:hAnsi="Times New Roman" w:eastAsia="仿宋_GB2312" w:cs="Times New Roman"/>
          <w:sz w:val="32"/>
          <w:szCs w:val="32"/>
          <w:lang w:val="zh-CN"/>
        </w:rPr>
        <w:t>项目立项、资金申报的依据</w:t>
      </w:r>
      <w:r>
        <w:rPr>
          <w:rFonts w:hint="eastAsia" w:ascii="Times New Roman" w:hAnsi="Times New Roman" w:eastAsia="仿宋_GB2312" w:cs="Times New Roman"/>
          <w:sz w:val="32"/>
          <w:szCs w:val="32"/>
          <w:lang w:val="zh-CN"/>
        </w:rPr>
        <w:t>：</w:t>
      </w:r>
      <w:r>
        <w:rPr>
          <w:rFonts w:hint="default" w:ascii="Times New Roman" w:hAnsi="Times New Roman" w:eastAsia="仿宋_GB2312" w:cs="Times New Roman"/>
          <w:sz w:val="32"/>
          <w:szCs w:val="32"/>
          <w:lang w:val="zh-CN"/>
        </w:rPr>
        <w:t>《四川省财政厅</w:t>
      </w:r>
      <w:r>
        <w:rPr>
          <w:rFonts w:hint="default" w:ascii="Times New Roman" w:hAnsi="Times New Roman" w:eastAsia="仿宋_GB2312" w:cs="Times New Roman"/>
          <w:sz w:val="32"/>
          <w:szCs w:val="32"/>
          <w:lang w:val="en-US" w:eastAsia="zh-CN"/>
        </w:rPr>
        <w:t xml:space="preserve"> 四川省人力资源和社会保障厅</w:t>
      </w:r>
      <w:r>
        <w:rPr>
          <w:rFonts w:hint="default" w:ascii="Times New Roman" w:hAnsi="Times New Roman" w:eastAsia="仿宋_GB2312" w:cs="Times New Roman"/>
          <w:sz w:val="32"/>
          <w:szCs w:val="32"/>
          <w:lang w:val="zh-CN"/>
        </w:rPr>
        <w:t>关于下达2023年省级财政人社公共服务能力建设补助资金的通知》（川财社〔2023〕56号）</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“社保公共服务能力建设资金”</w:t>
      </w:r>
      <w:r>
        <w:rPr>
          <w:rFonts w:hint="default" w:ascii="Times New Roman" w:hAnsi="Times New Roman" w:eastAsia="仿宋_GB2312" w:cs="Times New Roman"/>
          <w:sz w:val="32"/>
          <w:szCs w:val="32"/>
          <w:lang w:val="en-US" w:eastAsia="zh-CN"/>
        </w:rPr>
        <w:t>项目</w:t>
      </w:r>
      <w:r>
        <w:rPr>
          <w:rFonts w:hint="default" w:ascii="Times New Roman" w:hAnsi="Times New Roman" w:eastAsia="仿宋_GB2312" w:cs="Times New Roman"/>
          <w:sz w:val="32"/>
          <w:szCs w:val="32"/>
        </w:rPr>
        <w:t>主要用于</w:t>
      </w:r>
      <w:r>
        <w:rPr>
          <w:rFonts w:hint="default" w:ascii="Times New Roman" w:hAnsi="Times New Roman" w:eastAsia="仿宋_GB2312" w:cs="Times New Roman"/>
          <w:sz w:val="32"/>
          <w:szCs w:val="32"/>
          <w:lang w:eastAsia="zh-CN"/>
        </w:rPr>
        <w:t>攀枝花市</w:t>
      </w:r>
      <w:r>
        <w:rPr>
          <w:rFonts w:hint="default" w:ascii="Times New Roman" w:hAnsi="Times New Roman" w:eastAsia="仿宋_GB2312" w:cs="Times New Roman"/>
          <w:sz w:val="32"/>
          <w:szCs w:val="32"/>
        </w:rPr>
        <w:t>确保企业职工基本养老保险</w:t>
      </w:r>
      <w:r>
        <w:rPr>
          <w:rFonts w:hint="default" w:ascii="Times New Roman" w:hAnsi="Times New Roman" w:eastAsia="仿宋_GB2312" w:cs="Times New Roman"/>
          <w:sz w:val="32"/>
          <w:szCs w:val="32"/>
          <w:lang w:val="en-US" w:eastAsia="zh-CN"/>
        </w:rPr>
        <w:t>全国统筹落地落实</w:t>
      </w:r>
      <w:r>
        <w:rPr>
          <w:rFonts w:hint="default" w:ascii="Times New Roman" w:hAnsi="Times New Roman" w:eastAsia="仿宋_GB2312" w:cs="Times New Roman"/>
          <w:sz w:val="32"/>
          <w:szCs w:val="32"/>
        </w:rPr>
        <w:t>，参保覆盖人数持续增长，待遇水平稳步提高。</w:t>
      </w:r>
    </w:p>
    <w:p w14:paraId="3DB562D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zh-CN"/>
        </w:rPr>
        <w:t>资金管理办法制定情况，资金支持具体项目的条件、范围与支持方式概况。</w:t>
      </w:r>
    </w:p>
    <w:p w14:paraId="5409D4B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为进一步规范省级财政人社公共服务能力建设补助资金管理，提高资金使用绩效，按照《四川省财政厅四川省人力资源和社会保障厅关于印发</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四川省省级财政人社公共服务能力建设补助资金管理办法</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的通知》（川财社〔2023〕33号），结合我市实际，</w:t>
      </w:r>
      <w:r>
        <w:rPr>
          <w:rFonts w:hint="default" w:ascii="Times New Roman" w:hAnsi="Times New Roman" w:eastAsia="仿宋_GB2312" w:cs="Times New Roman"/>
          <w:sz w:val="32"/>
          <w:szCs w:val="32"/>
          <w:lang w:eastAsia="zh-CN"/>
        </w:rPr>
        <w:t>我单位</w:t>
      </w:r>
      <w:r>
        <w:rPr>
          <w:rFonts w:hint="default" w:ascii="Times New Roman" w:hAnsi="Times New Roman" w:eastAsia="仿宋_GB2312" w:cs="Times New Roman"/>
          <w:sz w:val="32"/>
          <w:szCs w:val="32"/>
        </w:rPr>
        <w:t>制定了《攀枝花市社会保险事务中心</w:t>
      </w:r>
      <w:r>
        <w:rPr>
          <w:rFonts w:hint="default" w:ascii="Times New Roman" w:hAnsi="Times New Roman" w:eastAsia="仿宋_GB2312" w:cs="Times New Roman"/>
          <w:sz w:val="32"/>
          <w:szCs w:val="32"/>
          <w:lang w:val="en-US" w:eastAsia="zh-CN"/>
        </w:rPr>
        <w:t>社保公共服务能力建设补助资金</w:t>
      </w:r>
      <w:r>
        <w:rPr>
          <w:rFonts w:hint="default" w:ascii="Times New Roman" w:hAnsi="Times New Roman" w:eastAsia="仿宋_GB2312" w:cs="Times New Roman"/>
          <w:sz w:val="32"/>
          <w:szCs w:val="32"/>
        </w:rPr>
        <w:t>管理办法》</w:t>
      </w:r>
      <w:r>
        <w:rPr>
          <w:rFonts w:hint="default" w:ascii="Times New Roman" w:hAnsi="Times New Roman" w:eastAsia="仿宋_GB2312" w:cs="Times New Roman"/>
          <w:sz w:val="32"/>
          <w:szCs w:val="32"/>
          <w:lang w:eastAsia="zh-CN"/>
        </w:rPr>
        <w:t>。</w:t>
      </w:r>
    </w:p>
    <w:p w14:paraId="59D5A3C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保公共服务能力建设资金”项目资金主要用于确保企业职工基本养老保险全国统筹，参保覆盖人数持续增长，待遇水平稳步提高。进一步推进“温暖人社”建设，按照建设“群众满意的人社公共服务”体系要求，围绕优化营商环境、打造便民服务、加强行风政风建设这条主线，积极推进人社系统“综合柜员制”改革，促进攀枝花市社会保险事务中心进一步履行职能职责。</w:t>
      </w:r>
    </w:p>
    <w:p w14:paraId="5868D68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资金主要用于社会保险经办标准化建设、信息系统建设及运行维护、设施设备购置、人员能力素质提升培训、业务档案数字化管理等相关支出。</w:t>
      </w:r>
    </w:p>
    <w:p w14:paraId="51EBBB2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资金分配的原则及考虑因素。</w:t>
      </w:r>
    </w:p>
    <w:p w14:paraId="34494F5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项目资金分配</w:t>
      </w:r>
      <w:r>
        <w:rPr>
          <w:rFonts w:hint="default" w:ascii="Times New Roman" w:hAnsi="Times New Roman" w:eastAsia="仿宋_GB2312" w:cs="Times New Roman"/>
          <w:sz w:val="32"/>
          <w:szCs w:val="32"/>
          <w:lang w:val="en-US" w:eastAsia="zh-CN"/>
        </w:rPr>
        <w:t>按照参保管理范围、服务人群及重点工作难易程度和考核结果分数加权计算。按照“公平公正、规范透明、科学合理”的原则，资金主要采用分配办法具体情况如下:企业职工基本养老保险政策执行和参保扩面25%、统收统支和待遇核发20%、责任分担10%、经办服务和风险防控35%、年度重点工作10%。考核总分为100分，按各考核指标分别计分，涉及扣分的指标项，该项分值扣完为止。</w:t>
      </w:r>
    </w:p>
    <w:p w14:paraId="688F683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4F96994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项目主要内容。</w:t>
      </w:r>
    </w:p>
    <w:p w14:paraId="08A96F5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“社保公共服务能力建设资金”项目资金主要用于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保障企业职工基本养老保险全国统筹顺利推进，参保覆盖人数持续增长，待遇水平稳步提高，基金运行总体平稳，有利于促进市社会保险事务中心进一步加强公共服务能力建设，为参保人员提供更优质的社保服务。</w:t>
      </w:r>
    </w:p>
    <w:p w14:paraId="7FA0586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项目应实现的具体绩效目标，包括目标的量化、细化情况以及项目实施进度计划等。</w:t>
      </w:r>
    </w:p>
    <w:p w14:paraId="3A59A009">
      <w:pPr>
        <w:keepNext w:val="0"/>
        <w:keepLines w:val="0"/>
        <w:pageBreakBefore w:val="0"/>
        <w:numPr>
          <w:ilvl w:val="0"/>
          <w:numId w:val="4"/>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质量指标：</w:t>
      </w:r>
      <w:r>
        <w:rPr>
          <w:rFonts w:hint="default" w:ascii="Times New Roman" w:hAnsi="Times New Roman" w:eastAsia="仿宋_GB2312" w:cs="Times New Roman"/>
          <w:sz w:val="32"/>
          <w:szCs w:val="32"/>
          <w:lang w:val="en-US" w:eastAsia="zh-CN"/>
        </w:rPr>
        <w:t>养老金领取资格认证率达到100%。</w:t>
      </w:r>
    </w:p>
    <w:p w14:paraId="6D391760">
      <w:pPr>
        <w:keepNext w:val="0"/>
        <w:keepLines w:val="0"/>
        <w:pageBreakBefore w:val="0"/>
        <w:numPr>
          <w:ilvl w:val="0"/>
          <w:numId w:val="4"/>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时效指标：</w:t>
      </w:r>
      <w:r>
        <w:rPr>
          <w:rFonts w:hint="default" w:ascii="Times New Roman" w:hAnsi="Times New Roman" w:eastAsia="仿宋_GB2312" w:cs="Times New Roman"/>
          <w:sz w:val="32"/>
          <w:szCs w:val="32"/>
          <w:lang w:val="en-US" w:eastAsia="zh-CN"/>
        </w:rPr>
        <w:t>资金在规定时间下达率达到100%。</w:t>
      </w:r>
    </w:p>
    <w:p w14:paraId="160A1DEE">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cs="Times New Roman"/>
          <w:sz w:val="32"/>
          <w:szCs w:val="32"/>
          <w:lang w:eastAsia="zh-CN"/>
        </w:rPr>
      </w:pPr>
      <w:r>
        <w:rPr>
          <w:rFonts w:hint="default" w:ascii="Times New Roman" w:hAnsi="Times New Roman" w:eastAsia="仿宋_GB2312" w:cs="Times New Roman"/>
          <w:sz w:val="32"/>
          <w:szCs w:val="32"/>
        </w:rPr>
        <w:t>（3）时效指标：企业职工基本养老保险待遇按时足额发放</w:t>
      </w:r>
      <w:r>
        <w:rPr>
          <w:rFonts w:hint="default" w:ascii="Times New Roman" w:hAnsi="Times New Roman" w:cs="Times New Roman"/>
          <w:sz w:val="32"/>
          <w:szCs w:val="32"/>
          <w:lang w:eastAsia="zh-CN"/>
        </w:rPr>
        <w:t>率达到</w:t>
      </w:r>
      <w:r>
        <w:rPr>
          <w:rFonts w:hint="default" w:ascii="Times New Roman" w:hAnsi="Times New Roman" w:cs="Times New Roman"/>
          <w:sz w:val="32"/>
          <w:szCs w:val="32"/>
          <w:lang w:val="en-US" w:eastAsia="zh-CN"/>
        </w:rPr>
        <w:t>100%</w:t>
      </w:r>
      <w:r>
        <w:rPr>
          <w:rFonts w:hint="default" w:ascii="Times New Roman" w:hAnsi="Times New Roman" w:cs="Times New Roman"/>
          <w:sz w:val="32"/>
          <w:szCs w:val="32"/>
          <w:lang w:eastAsia="zh-CN"/>
        </w:rPr>
        <w:t>。</w:t>
      </w:r>
    </w:p>
    <w:p w14:paraId="67D7F214">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4</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成本指标：</w:t>
      </w:r>
      <w:r>
        <w:rPr>
          <w:rFonts w:hint="default" w:ascii="Times New Roman" w:hAnsi="Times New Roman" w:eastAsia="仿宋_GB2312" w:cs="Times New Roman"/>
          <w:sz w:val="32"/>
          <w:szCs w:val="32"/>
          <w:lang w:val="en-US" w:eastAsia="zh-CN"/>
        </w:rPr>
        <w:t>16.8万元资金全额下达。</w:t>
      </w:r>
    </w:p>
    <w:p w14:paraId="43435D49">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）社会效益指标：</w:t>
      </w:r>
      <w:r>
        <w:rPr>
          <w:rFonts w:hint="default" w:ascii="Times New Roman" w:hAnsi="Times New Roman" w:eastAsia="仿宋_GB2312" w:cs="Times New Roman"/>
          <w:sz w:val="32"/>
          <w:szCs w:val="32"/>
          <w:lang w:val="zh-CN" w:eastAsia="zh-CN"/>
        </w:rPr>
        <w:t>人民群众获得感、幸福感增强。</w:t>
      </w:r>
    </w:p>
    <w:p w14:paraId="2BF3696E">
      <w:pPr>
        <w:pStyle w:val="9"/>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6</w:t>
      </w:r>
      <w:r>
        <w:rPr>
          <w:rFonts w:hint="default" w:ascii="Times New Roman" w:hAnsi="Times New Roman" w:eastAsia="仿宋_GB2312" w:cs="Times New Roman"/>
          <w:sz w:val="32"/>
          <w:szCs w:val="32"/>
        </w:rPr>
        <w:t>）满意度指标：</w:t>
      </w:r>
      <w:r>
        <w:rPr>
          <w:rFonts w:hint="default" w:ascii="Times New Roman" w:hAnsi="Times New Roman" w:eastAsia="仿宋_GB2312" w:cs="Times New Roman"/>
          <w:color w:val="000000"/>
          <w:sz w:val="32"/>
          <w:szCs w:val="32"/>
        </w:rPr>
        <w:t>参保人员满意度</w:t>
      </w:r>
      <w:r>
        <w:rPr>
          <w:rFonts w:hint="default" w:ascii="Times New Roman" w:hAnsi="Times New Roman" w:cs="Times New Roman"/>
          <w:sz w:val="32"/>
          <w:szCs w:val="32"/>
        </w:rPr>
        <w:t>≥</w:t>
      </w:r>
      <w:r>
        <w:rPr>
          <w:rFonts w:hint="default" w:ascii="Times New Roman" w:hAnsi="Times New Roman" w:eastAsia="仿宋_GB2312" w:cs="Times New Roman"/>
          <w:sz w:val="32"/>
          <w:szCs w:val="32"/>
        </w:rPr>
        <w:t>90%。</w:t>
      </w:r>
    </w:p>
    <w:p w14:paraId="3035FFF5">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分析评价申报内容是否与实际相符，申报目标是否合理可行。</w:t>
      </w:r>
    </w:p>
    <w:p w14:paraId="48C728A6">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rPr>
        <w:t>市社会保险事务中心按照20</w:t>
      </w:r>
      <w:r>
        <w:rPr>
          <w:rFonts w:hint="default" w:ascii="Times New Roman" w:hAnsi="Times New Roman" w:cs="Times New Roman"/>
          <w:sz w:val="32"/>
          <w:szCs w:val="32"/>
          <w:lang w:val="en-US" w:eastAsia="zh-CN"/>
        </w:rPr>
        <w:t>24</w:t>
      </w:r>
      <w:r>
        <w:rPr>
          <w:rFonts w:hint="default" w:ascii="Times New Roman" w:hAnsi="Times New Roman" w:eastAsia="仿宋_GB2312" w:cs="Times New Roman"/>
          <w:sz w:val="32"/>
          <w:szCs w:val="32"/>
          <w:lang w:val="zh-CN"/>
        </w:rPr>
        <w:t>年目标任务制定绩效目标，申报内容与实际相符，申报目标合理可行。</w:t>
      </w:r>
    </w:p>
    <w:p w14:paraId="732A190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14:paraId="1DF07042">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市社会保险事务中心项目绩效评价按照前期准备阶段、自评阶段、实施评价阶段、报告撰写阶段、结果运用阶段五个阶段的工作流程。</w:t>
      </w:r>
      <w:r>
        <w:rPr>
          <w:rFonts w:hint="default" w:ascii="Times New Roman" w:hAnsi="Times New Roman" w:eastAsia="仿宋_GB2312" w:cs="Times New Roman"/>
          <w:sz w:val="32"/>
          <w:szCs w:val="32"/>
          <w:lang w:val="zh-CN" w:eastAsia="zh-CN"/>
        </w:rPr>
        <w:t>办公室成立项目评价小组对项目资金执行情况进行自查自评。</w:t>
      </w:r>
    </w:p>
    <w:p w14:paraId="7606ADF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1966B4A0">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“社保公共服务能力建设资金”</w:t>
      </w:r>
      <w:r>
        <w:rPr>
          <w:rFonts w:hint="default" w:ascii="Times New Roman" w:hAnsi="Times New Roman" w:eastAsia="仿宋_GB2312" w:cs="Times New Roman"/>
          <w:sz w:val="32"/>
          <w:szCs w:val="32"/>
          <w:lang w:val="zh-CN"/>
        </w:rPr>
        <w:t>项目资金共</w:t>
      </w:r>
      <w:r>
        <w:rPr>
          <w:rFonts w:hint="default" w:ascii="Times New Roman" w:hAnsi="Times New Roman" w:cs="Times New Roman"/>
          <w:sz w:val="32"/>
          <w:szCs w:val="32"/>
          <w:lang w:val="en-US" w:eastAsia="zh-CN"/>
        </w:rPr>
        <w:t>16.8</w:t>
      </w:r>
      <w:r>
        <w:rPr>
          <w:rFonts w:hint="default" w:ascii="Times New Roman" w:hAnsi="Times New Roman" w:eastAsia="仿宋_GB2312" w:cs="Times New Roman"/>
          <w:sz w:val="32"/>
          <w:szCs w:val="32"/>
          <w:lang w:val="zh-CN"/>
        </w:rPr>
        <w:t>万元</w:t>
      </w:r>
      <w:r>
        <w:rPr>
          <w:rFonts w:hint="default" w:ascii="Times New Roman" w:hAnsi="Times New Roman" w:cs="Times New Roman"/>
          <w:sz w:val="32"/>
          <w:szCs w:val="32"/>
          <w:lang w:val="zh-CN"/>
        </w:rPr>
        <w:t>，</w:t>
      </w:r>
      <w:r>
        <w:rPr>
          <w:rFonts w:hint="default" w:ascii="Times New Roman" w:hAnsi="Times New Roman" w:eastAsia="仿宋_GB2312" w:cs="Times New Roman"/>
          <w:sz w:val="32"/>
          <w:szCs w:val="32"/>
          <w:lang w:val="zh-CN"/>
        </w:rPr>
        <w:t>资金支付完成100%。</w:t>
      </w:r>
    </w:p>
    <w:p w14:paraId="4EDB274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14:paraId="454F672B">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“社保公共服务能力建设资金”</w:t>
      </w:r>
      <w:r>
        <w:rPr>
          <w:rFonts w:hint="default" w:ascii="Times New Roman" w:hAnsi="Times New Roman" w:eastAsia="仿宋_GB2312" w:cs="Times New Roman"/>
          <w:sz w:val="32"/>
          <w:szCs w:val="32"/>
          <w:lang w:val="zh-CN" w:eastAsia="zh-CN"/>
        </w:rPr>
        <w:t>项目资金由省级财政下拨，</w:t>
      </w:r>
      <w:r>
        <w:rPr>
          <w:rFonts w:hint="default" w:ascii="Times New Roman" w:hAnsi="Times New Roman" w:eastAsia="仿宋_GB2312" w:cs="Times New Roman"/>
          <w:sz w:val="32"/>
          <w:szCs w:val="32"/>
          <w:lang w:val="en-US" w:eastAsia="zh-CN"/>
        </w:rPr>
        <w:t>市社会保险事务中心</w:t>
      </w:r>
      <w:r>
        <w:rPr>
          <w:rFonts w:hint="default" w:ascii="Times New Roman" w:hAnsi="Times New Roman" w:eastAsia="仿宋_GB2312" w:cs="Times New Roman"/>
          <w:sz w:val="32"/>
          <w:szCs w:val="32"/>
          <w:lang w:val="zh-CN" w:eastAsia="zh-CN"/>
        </w:rPr>
        <w:t>在“预算管理一体化系统”中申报项目资金，市级财政完成批复并下达指标。</w:t>
      </w:r>
    </w:p>
    <w:p w14:paraId="70B14D2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w:t>
      </w:r>
    </w:p>
    <w:p w14:paraId="2FB8EC82">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lang w:val="zh-CN"/>
        </w:rPr>
        <w:t>资金计划。</w:t>
      </w:r>
    </w:p>
    <w:p w14:paraId="2BBF1B28">
      <w:pPr>
        <w:keepNext w:val="0"/>
        <w:keepLines w:val="0"/>
        <w:pageBreakBefore w:val="0"/>
        <w:numPr>
          <w:ilvl w:val="0"/>
          <w:numId w:val="0"/>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16.8万元，</w:t>
      </w:r>
      <w:r>
        <w:rPr>
          <w:rFonts w:hint="default" w:ascii="Times New Roman" w:hAnsi="Times New Roman" w:eastAsia="仿宋_GB2312" w:cs="Times New Roman"/>
          <w:sz w:val="32"/>
          <w:szCs w:val="32"/>
          <w:lang w:val="zh-CN" w:eastAsia="zh-CN"/>
        </w:rPr>
        <w:t>用于市社会保险事务</w:t>
      </w:r>
      <w:r>
        <w:rPr>
          <w:rFonts w:hint="default" w:ascii="Times New Roman" w:hAnsi="Times New Roman" w:eastAsia="仿宋_GB2312" w:cs="Times New Roman"/>
          <w:sz w:val="32"/>
          <w:szCs w:val="32"/>
          <w:lang w:val="en-US" w:eastAsia="zh-CN"/>
        </w:rPr>
        <w:t>中心</w:t>
      </w:r>
      <w:r>
        <w:rPr>
          <w:rFonts w:hint="default" w:ascii="Times New Roman" w:hAnsi="Times New Roman" w:eastAsia="仿宋_GB2312" w:cs="Times New Roman"/>
          <w:sz w:val="32"/>
          <w:szCs w:val="32"/>
          <w:lang w:val="zh-CN" w:eastAsia="zh-CN"/>
        </w:rPr>
        <w:t>社保公共服务能力建设</w:t>
      </w:r>
      <w:r>
        <w:rPr>
          <w:rFonts w:hint="default" w:ascii="Times New Roman" w:hAnsi="Times New Roman" w:eastAsia="仿宋_GB2312" w:cs="Times New Roman"/>
          <w:sz w:val="32"/>
          <w:szCs w:val="32"/>
          <w:lang w:val="en-US" w:eastAsia="zh-CN"/>
        </w:rPr>
        <w:t>所需</w:t>
      </w:r>
      <w:r>
        <w:rPr>
          <w:rFonts w:hint="default" w:ascii="Times New Roman" w:hAnsi="Times New Roman" w:eastAsia="仿宋_GB2312" w:cs="Times New Roman"/>
          <w:sz w:val="32"/>
          <w:szCs w:val="32"/>
          <w:lang w:val="zh-CN" w:eastAsia="zh-CN"/>
        </w:rPr>
        <w:t>的信息系统建设及运行维护、设施设备购置、经办人员能力素质提升培训及风险防控等支出。</w:t>
      </w:r>
    </w:p>
    <w:p w14:paraId="63602DFC">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lang w:val="zh-CN"/>
        </w:rPr>
        <w:t>资金到位。</w:t>
      </w:r>
    </w:p>
    <w:p w14:paraId="02049209">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16.8</w:t>
      </w:r>
      <w:r>
        <w:rPr>
          <w:rFonts w:hint="default" w:ascii="Times New Roman" w:hAnsi="Times New Roman" w:eastAsia="仿宋_GB2312" w:cs="Times New Roman"/>
          <w:sz w:val="32"/>
          <w:szCs w:val="32"/>
          <w:lang w:val="zh-CN" w:eastAsia="zh-CN"/>
        </w:rPr>
        <w:t>万元，于202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年中由市级财政批复并下达预算指标，到位率100%。</w:t>
      </w:r>
    </w:p>
    <w:p w14:paraId="7827223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lang w:val="zh-CN"/>
        </w:rPr>
        <w:t>资金使用。</w:t>
      </w:r>
    </w:p>
    <w:p w14:paraId="7EF61A7D">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此项目资金主要用于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市社会保险事务中心社保公共服务能力建设所需的信息系统建设及运行维护、设施设备购置、经办人员能力素质提升培训及风险防控等支出。资金到位后，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市社会保险事务中心严格按财经纪律、财务管理等相关规定，严格审核各项支出，及时支付，资金支付完成100%。</w:t>
      </w:r>
    </w:p>
    <w:p w14:paraId="41E8F3EF">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14:paraId="12BAAF2B">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建立了财务管理制度，由办公室统一管理“社保公共服务能力建设资金”项目资金，严格按照上级要求上报资金使用计划，并在实施过程中做到资金专项专用。所有支出严格按照财务会计管理规定，做到资金使用有计划、审批有手续、支出合理规范。并及时进行账务处理和会计核算，按财政要求及时编制和公开项目资金绩效目标。</w:t>
      </w:r>
    </w:p>
    <w:p w14:paraId="098E058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7CAB0A19">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b/>
          <w:sz w:val="32"/>
          <w:szCs w:val="32"/>
          <w:lang w:val="zh-CN"/>
        </w:rPr>
      </w:pPr>
      <w:r>
        <w:rPr>
          <w:rFonts w:hint="eastAsia" w:ascii="Times New Roman" w:hAnsi="Times New Roman" w:eastAsia="楷体_GB2312" w:cs="Times New Roman"/>
          <w:b/>
          <w:sz w:val="32"/>
          <w:szCs w:val="32"/>
          <w:lang w:val="zh-CN"/>
        </w:rPr>
        <w:t>（</w:t>
      </w:r>
      <w:r>
        <w:rPr>
          <w:rFonts w:hint="eastAsia" w:ascii="Times New Roman" w:hAnsi="Times New Roman" w:eastAsia="楷体_GB2312" w:cs="Times New Roman"/>
          <w:b/>
          <w:sz w:val="32"/>
          <w:szCs w:val="32"/>
          <w:lang w:val="en-US" w:eastAsia="zh-CN"/>
        </w:rPr>
        <w:t>一</w:t>
      </w:r>
      <w:r>
        <w:rPr>
          <w:rFonts w:hint="eastAsia" w:ascii="Times New Roman" w:hAnsi="Times New Roman" w:eastAsia="楷体_GB2312" w:cs="Times New Roman"/>
          <w:b/>
          <w:sz w:val="32"/>
          <w:szCs w:val="32"/>
          <w:lang w:val="zh-CN"/>
        </w:rPr>
        <w:t>）</w:t>
      </w:r>
      <w:r>
        <w:rPr>
          <w:rFonts w:hint="default" w:ascii="Times New Roman" w:hAnsi="Times New Roman" w:eastAsia="楷体_GB2312" w:cs="Times New Roman"/>
          <w:b/>
          <w:sz w:val="32"/>
          <w:szCs w:val="32"/>
          <w:lang w:val="zh-CN"/>
        </w:rPr>
        <w:t>项目组织架构及实施流程</w:t>
      </w:r>
    </w:p>
    <w:p w14:paraId="7802E935">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办公室在部门预算中申报项目资金，并制定绩效目标；按照项目执行情况在“预算管理一体化系统”中完成资金的申请和支付。</w:t>
      </w:r>
      <w:r>
        <w:rPr>
          <w:rFonts w:hint="default" w:ascii="Times New Roman" w:hAnsi="Times New Roman" w:eastAsia="仿宋_GB2312" w:cs="Times New Roman"/>
          <w:sz w:val="32"/>
          <w:szCs w:val="32"/>
          <w:lang w:val="en-US" w:eastAsia="zh-CN"/>
        </w:rPr>
        <w:t>稽核科成立项目督导检查工作小组，不定期对项目执行进度情况进行督导检查</w:t>
      </w:r>
      <w:r>
        <w:rPr>
          <w:rFonts w:hint="default" w:ascii="Times New Roman" w:hAnsi="Times New Roman" w:eastAsia="仿宋_GB2312" w:cs="Times New Roman"/>
          <w:sz w:val="32"/>
          <w:szCs w:val="32"/>
          <w:lang w:val="zh-CN" w:eastAsia="zh-CN"/>
        </w:rPr>
        <w:t>。</w:t>
      </w:r>
    </w:p>
    <w:p w14:paraId="0C423C53">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b/>
          <w:sz w:val="32"/>
          <w:szCs w:val="32"/>
          <w:lang w:val="zh-CN"/>
        </w:rPr>
      </w:pPr>
      <w:r>
        <w:rPr>
          <w:rFonts w:hint="eastAsia" w:ascii="Times New Roman" w:hAnsi="Times New Roman" w:eastAsia="楷体_GB2312" w:cs="Times New Roman"/>
          <w:b/>
          <w:sz w:val="32"/>
          <w:szCs w:val="32"/>
          <w:lang w:val="zh-CN"/>
        </w:rPr>
        <w:t>（</w:t>
      </w:r>
      <w:r>
        <w:rPr>
          <w:rFonts w:hint="eastAsia" w:ascii="Times New Roman" w:hAnsi="Times New Roman" w:eastAsia="楷体_GB2312" w:cs="Times New Roman"/>
          <w:b/>
          <w:sz w:val="32"/>
          <w:szCs w:val="32"/>
          <w:lang w:val="en-US" w:eastAsia="zh-CN"/>
        </w:rPr>
        <w:t>二</w:t>
      </w:r>
      <w:r>
        <w:rPr>
          <w:rFonts w:hint="eastAsia" w:ascii="Times New Roman" w:hAnsi="Times New Roman" w:eastAsia="楷体_GB2312" w:cs="Times New Roman"/>
          <w:b/>
          <w:sz w:val="32"/>
          <w:szCs w:val="32"/>
          <w:lang w:val="zh-CN"/>
        </w:rPr>
        <w:t>）</w:t>
      </w:r>
      <w:r>
        <w:rPr>
          <w:rFonts w:hint="default" w:ascii="Times New Roman" w:hAnsi="Times New Roman" w:eastAsia="楷体_GB2312" w:cs="Times New Roman"/>
          <w:b/>
          <w:sz w:val="32"/>
          <w:szCs w:val="32"/>
          <w:lang w:val="zh-CN"/>
        </w:rPr>
        <w:t>项目管理情况</w:t>
      </w:r>
    </w:p>
    <w:p w14:paraId="2A8C780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严格按照《四川省财政厅</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zh-CN" w:eastAsia="zh-CN"/>
        </w:rPr>
        <w:t>四川省人力资源和社会保障厅关于印发</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zh-CN" w:eastAsia="zh-CN"/>
        </w:rPr>
        <w:t>四川省省级财政人社公共服务能力建设补助资金管理办法</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zh-CN" w:eastAsia="zh-CN"/>
        </w:rPr>
        <w:t>的通知》（川财社〔2023〕33号）文件要求使用项目资金。</w:t>
      </w:r>
    </w:p>
    <w:p w14:paraId="31B4E094">
      <w:pPr>
        <w:keepNext w:val="0"/>
        <w:keepLines w:val="0"/>
        <w:pageBreakBefore w:val="0"/>
        <w:numPr>
          <w:ilvl w:val="0"/>
          <w:numId w:val="0"/>
        </w:numPr>
        <w:kinsoku/>
        <w:wordWrap/>
        <w:overflowPunct/>
        <w:topLinePunct w:val="0"/>
        <w:autoSpaceDE/>
        <w:autoSpaceDN/>
        <w:bidi w:val="0"/>
        <w:adjustRightInd w:val="0"/>
        <w:snapToGrid w:val="0"/>
        <w:spacing w:line="600" w:lineRule="exact"/>
        <w:ind w:left="720" w:leftChars="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（三）项目监管情况</w:t>
      </w:r>
    </w:p>
    <w:p w14:paraId="361BF874">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市社会保险事务中心稽核科成立项目督导检查工作小组，不定期对项目执行进度情况进行督导检查，对检查过程中发现的问题及时督促整改，确保了项目按时保质完成。</w:t>
      </w:r>
    </w:p>
    <w:p w14:paraId="5A4797E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1684D005">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2E683CD1">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“社保公共服务能力建设资金”项目在当期完成了项目的总体实施，执行率100%。提高社会公众政策知晓度、依法履行社保义务和维护社保合法权益的意识，不断提升社保工作人员经办能力和水平。</w:t>
      </w:r>
    </w:p>
    <w:p w14:paraId="28D50282">
      <w:pPr>
        <w:keepNext w:val="0"/>
        <w:keepLines w:val="0"/>
        <w:pageBreakBefore w:val="0"/>
        <w:numPr>
          <w:ilvl w:val="0"/>
          <w:numId w:val="0"/>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1</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质量指标：养老金领取资格认证率</w:t>
      </w:r>
      <w:r>
        <w:rPr>
          <w:rFonts w:hint="default" w:ascii="Times New Roman" w:hAnsi="Times New Roman" w:cs="Times New Roman"/>
          <w:sz w:val="32"/>
          <w:szCs w:val="32"/>
          <w:lang w:eastAsia="zh-CN"/>
        </w:rPr>
        <w:t>达到</w:t>
      </w:r>
      <w:r>
        <w:rPr>
          <w:rFonts w:hint="default" w:ascii="Times New Roman" w:hAnsi="Times New Roman" w:cs="Times New Roman"/>
          <w:sz w:val="32"/>
          <w:szCs w:val="32"/>
          <w:lang w:val="en-US" w:eastAsia="zh-CN"/>
        </w:rPr>
        <w:t>100%。</w:t>
      </w:r>
    </w:p>
    <w:p w14:paraId="3340E535">
      <w:pPr>
        <w:keepNext w:val="0"/>
        <w:keepLines w:val="0"/>
        <w:pageBreakBefore w:val="0"/>
        <w:numPr>
          <w:ilvl w:val="0"/>
          <w:numId w:val="0"/>
        </w:numPr>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2</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时效指标：资金在规定时间下达率</w:t>
      </w:r>
      <w:r>
        <w:rPr>
          <w:rFonts w:hint="default" w:ascii="Times New Roman" w:hAnsi="Times New Roman" w:cs="Times New Roman"/>
          <w:sz w:val="32"/>
          <w:szCs w:val="32"/>
          <w:lang w:eastAsia="zh-CN"/>
        </w:rPr>
        <w:t>达到</w:t>
      </w:r>
      <w:r>
        <w:rPr>
          <w:rFonts w:hint="default" w:ascii="Times New Roman" w:hAnsi="Times New Roman" w:cs="Times New Roman"/>
          <w:sz w:val="32"/>
          <w:szCs w:val="32"/>
          <w:lang w:val="en-US" w:eastAsia="zh-CN"/>
        </w:rPr>
        <w:t>100%。</w:t>
      </w:r>
    </w:p>
    <w:p w14:paraId="2ADF605A">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cs="Times New Roman"/>
          <w:sz w:val="32"/>
          <w:szCs w:val="32"/>
          <w:lang w:eastAsia="zh-CN"/>
        </w:rPr>
      </w:pPr>
      <w:r>
        <w:rPr>
          <w:rFonts w:hint="default" w:ascii="Times New Roman" w:hAnsi="Times New Roman" w:eastAsia="仿宋_GB2312" w:cs="Times New Roman"/>
          <w:sz w:val="32"/>
          <w:szCs w:val="32"/>
        </w:rPr>
        <w:t>（3）时效指标：企业职工基本养老保险待遇按时足额</w:t>
      </w:r>
      <w:r>
        <w:rPr>
          <w:rFonts w:hint="default" w:ascii="Times New Roman" w:hAnsi="Times New Roman" w:eastAsia="仿宋_GB2312" w:cs="Times New Roman"/>
          <w:sz w:val="32"/>
          <w:szCs w:val="32"/>
          <w:lang w:val="en-US" w:eastAsia="zh-CN"/>
        </w:rPr>
        <w:t>发放率达到100%</w:t>
      </w:r>
      <w:r>
        <w:rPr>
          <w:rFonts w:hint="default" w:ascii="Times New Roman" w:hAnsi="Times New Roman" w:cs="Times New Roman"/>
          <w:sz w:val="32"/>
          <w:szCs w:val="32"/>
          <w:lang w:eastAsia="zh-CN"/>
        </w:rPr>
        <w:t>。</w:t>
      </w:r>
    </w:p>
    <w:p w14:paraId="5D1C33DA">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4</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成本指标：</w:t>
      </w:r>
      <w:r>
        <w:rPr>
          <w:rFonts w:hint="default" w:ascii="Times New Roman" w:hAnsi="Times New Roman" w:eastAsia="仿宋_GB2312" w:cs="Times New Roman"/>
          <w:sz w:val="32"/>
          <w:szCs w:val="32"/>
          <w:lang w:val="en-US" w:eastAsia="zh-CN"/>
        </w:rPr>
        <w:t>16.8万元资金全额下达。</w:t>
      </w:r>
    </w:p>
    <w:p w14:paraId="1888FA5F">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）社会效益指标：</w:t>
      </w:r>
      <w:r>
        <w:rPr>
          <w:rFonts w:hint="default" w:ascii="Times New Roman" w:hAnsi="Times New Roman" w:eastAsia="仿宋_GB2312" w:cs="Times New Roman"/>
          <w:sz w:val="32"/>
          <w:szCs w:val="32"/>
          <w:lang w:val="en-US" w:eastAsia="zh-CN"/>
        </w:rPr>
        <w:t>人民群众获得感、幸福感增强。</w:t>
      </w:r>
    </w:p>
    <w:p w14:paraId="41DA803E">
      <w:pPr>
        <w:pStyle w:val="9"/>
        <w:keepNext w:val="0"/>
        <w:keepLines w:val="0"/>
        <w:pageBreakBefore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6</w:t>
      </w:r>
      <w:r>
        <w:rPr>
          <w:rFonts w:hint="default" w:ascii="Times New Roman" w:hAnsi="Times New Roman" w:eastAsia="仿宋_GB2312" w:cs="Times New Roman"/>
          <w:sz w:val="32"/>
          <w:szCs w:val="32"/>
        </w:rPr>
        <w:t>）满意度指标：</w:t>
      </w:r>
      <w:r>
        <w:rPr>
          <w:rFonts w:hint="default" w:ascii="Times New Roman" w:hAnsi="Times New Roman" w:eastAsia="仿宋_GB2312" w:cs="Times New Roman"/>
          <w:color w:val="000000"/>
          <w:sz w:val="32"/>
          <w:szCs w:val="32"/>
        </w:rPr>
        <w:t>参保人员满意度</w:t>
      </w:r>
      <w:r>
        <w:rPr>
          <w:rFonts w:hint="default" w:ascii="Times New Roman" w:hAnsi="Times New Roman" w:cs="Times New Roman"/>
          <w:sz w:val="32"/>
          <w:szCs w:val="32"/>
        </w:rPr>
        <w:t>≥</w:t>
      </w:r>
      <w:r>
        <w:rPr>
          <w:rFonts w:hint="default" w:ascii="Times New Roman" w:hAnsi="Times New Roman" w:eastAsia="仿宋_GB2312" w:cs="Times New Roman"/>
          <w:sz w:val="32"/>
          <w:szCs w:val="32"/>
        </w:rPr>
        <w:t>90%。</w:t>
      </w:r>
    </w:p>
    <w:p w14:paraId="2AD7A593">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21489CAA">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通过“社保公共服务能力建设资金”项目，扎实抓好我市《社会保险经办条例》的学习宣传贯彻，广泛深入宣传社会保险政策和便民服务举措，进一步提高社会公众政策知晓度、依法履行社保义务和维护社保合法权益的意识，不断提升社保工作人员经办能力和水平，为全市参保人员做好社会保险公共服务工作。</w:t>
      </w:r>
    </w:p>
    <w:p w14:paraId="10BFC5B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065B88C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14:paraId="3D82F8EF">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val="en-US" w:eastAsia="zh-CN"/>
        </w:rPr>
        <w:t>1.</w:t>
      </w:r>
      <w:r>
        <w:rPr>
          <w:rFonts w:hint="default" w:ascii="Times New Roman" w:hAnsi="Times New Roman" w:eastAsia="楷体_GB2312" w:cs="Times New Roman"/>
          <w:color w:val="auto"/>
          <w:sz w:val="32"/>
          <w:szCs w:val="32"/>
          <w:lang w:eastAsia="zh-CN"/>
        </w:rPr>
        <w:t>项目决策。</w:t>
      </w:r>
    </w:p>
    <w:p w14:paraId="26429759">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设立、调整延续等方面符合资金管理基本规范和决策程序要求，项目规划论证符合中省要求，项目绩效目标设置是否科学合理，属于政府支持范围，且符合财政事权支出责任划分规定，资金投向与项目总体规划、相关行业事业发展相匹配，项目制度办法体系健全、要素完备。</w:t>
      </w:r>
    </w:p>
    <w:p w14:paraId="0EC21C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val="en-US" w:eastAsia="zh-CN"/>
        </w:rPr>
        <w:t>2.</w:t>
      </w:r>
      <w:r>
        <w:rPr>
          <w:rFonts w:hint="default" w:ascii="Times New Roman" w:hAnsi="Times New Roman" w:eastAsia="楷体_GB2312" w:cs="Times New Roman"/>
          <w:color w:val="auto"/>
          <w:sz w:val="32"/>
          <w:szCs w:val="32"/>
          <w:lang w:eastAsia="zh-CN"/>
        </w:rPr>
        <w:t>项目管理。</w:t>
      </w:r>
    </w:p>
    <w:p w14:paraId="62727F30">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按实际区域分配结果选择客观因素测算验证资金分配科学合理、均衡公平。资金实际支持对象符合管理要求，符合支持对象范围。</w:t>
      </w:r>
    </w:p>
    <w:p w14:paraId="3008D6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3.项目实施。</w:t>
      </w:r>
    </w:p>
    <w:p w14:paraId="68F7D0EB">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此项目资金16.8万元，2024年中由市级财政下达预算指标，</w:t>
      </w:r>
      <w:r>
        <w:rPr>
          <w:rFonts w:hint="default" w:ascii="Times New Roman" w:hAnsi="Times New Roman" w:eastAsia="仿宋_GB2312" w:cs="Times New Roman"/>
          <w:sz w:val="32"/>
          <w:szCs w:val="32"/>
          <w:lang w:val="zh-CN" w:eastAsia="zh-CN"/>
        </w:rPr>
        <w:t>到位率100%。</w:t>
      </w:r>
      <w:r>
        <w:rPr>
          <w:rFonts w:hint="default" w:ascii="Times New Roman" w:hAnsi="Times New Roman" w:eastAsia="仿宋_GB2312" w:cs="Times New Roman"/>
          <w:sz w:val="32"/>
          <w:szCs w:val="32"/>
          <w:lang w:val="en-US" w:eastAsia="zh-CN"/>
        </w:rPr>
        <w:t>主要</w:t>
      </w:r>
      <w:r>
        <w:rPr>
          <w:rFonts w:hint="default" w:ascii="Times New Roman" w:hAnsi="Times New Roman" w:eastAsia="仿宋_GB2312" w:cs="Times New Roman"/>
          <w:sz w:val="32"/>
          <w:szCs w:val="32"/>
          <w:lang w:val="zh-CN" w:eastAsia="zh-CN"/>
        </w:rPr>
        <w:t>用于社保公共服务能力建设</w:t>
      </w:r>
      <w:r>
        <w:rPr>
          <w:rFonts w:hint="default" w:ascii="Times New Roman" w:hAnsi="Times New Roman" w:eastAsia="仿宋_GB2312" w:cs="Times New Roman"/>
          <w:sz w:val="32"/>
          <w:szCs w:val="32"/>
          <w:lang w:val="en-US" w:eastAsia="zh-CN"/>
        </w:rPr>
        <w:t>所需</w:t>
      </w:r>
      <w:r>
        <w:rPr>
          <w:rFonts w:hint="default" w:ascii="Times New Roman" w:hAnsi="Times New Roman" w:eastAsia="仿宋_GB2312" w:cs="Times New Roman"/>
          <w:sz w:val="32"/>
          <w:szCs w:val="32"/>
          <w:lang w:val="zh-CN" w:eastAsia="zh-CN"/>
        </w:rPr>
        <w:t>的信息系统建设及运行维护、设施设备购置、经办人员能力素质提升培训及风险防控等支出。资金</w:t>
      </w:r>
      <w:r>
        <w:rPr>
          <w:rFonts w:hint="default" w:ascii="Times New Roman" w:hAnsi="Times New Roman" w:eastAsia="仿宋_GB2312" w:cs="Times New Roman"/>
          <w:sz w:val="32"/>
          <w:szCs w:val="32"/>
          <w:lang w:val="en-US" w:eastAsia="zh-CN"/>
        </w:rPr>
        <w:t>到位后，攀枝花市社会保险事务中心办公室组织实施，严格按财经纪律、财务管理等相关规定，严格审核各项支出。</w:t>
      </w:r>
    </w:p>
    <w:p w14:paraId="0A2507B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4.项目结果。</w:t>
      </w:r>
    </w:p>
    <w:p w14:paraId="577BFCBC">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2024年为新增退休人员建立起基础信息，完善了社会化服务管理信息，离退休人员社会化管理率达到100%。全面完成2024年离退休人员领取社保待遇资格认证工作，养老金领取资格认证率达到100%。</w:t>
      </w:r>
    </w:p>
    <w:p w14:paraId="313D30E2">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“社保公共服务能力建设资金”项目在当期完成了项目的总体实施，执行率100%。确保了企业职工基本养老保险全国统筹顺利推进。</w:t>
      </w:r>
    </w:p>
    <w:p w14:paraId="31B3272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14:paraId="70B4F1AC">
      <w:pPr>
        <w:keepNext w:val="0"/>
        <w:keepLines w:val="0"/>
        <w:pageBreakBefore w:val="0"/>
        <w:widowControl/>
        <w:kinsoku/>
        <w:wordWrap/>
        <w:overflowPunct/>
        <w:topLinePunct w:val="0"/>
        <w:autoSpaceDE/>
        <w:autoSpaceDN/>
        <w:bidi w:val="0"/>
        <w:spacing w:line="600" w:lineRule="exact"/>
        <w:ind w:firstLine="960" w:firstLineChars="300"/>
        <w:jc w:val="both"/>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无。</w:t>
      </w:r>
    </w:p>
    <w:p w14:paraId="598B9E5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14:paraId="448AFAB7">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强化预算资金精细化管理，提高预算资金科学性、合理性。严格根据相关标准和依据，进行资金使用，确保资金使用效益。</w:t>
      </w:r>
    </w:p>
    <w:p w14:paraId="310F0E63">
      <w:pPr>
        <w:keepNext w:val="0"/>
        <w:keepLines w:val="0"/>
        <w:pageBreakBefore w:val="0"/>
        <w:widowControl w:val="0"/>
        <w:kinsoku/>
        <w:wordWrap/>
        <w:overflowPunct/>
        <w:topLinePunct w:val="0"/>
        <w:autoSpaceDE/>
        <w:autoSpaceDN/>
        <w:bidi w:val="0"/>
        <w:spacing w:line="600" w:lineRule="exact"/>
        <w:ind w:firstLine="640"/>
        <w:textAlignment w:val="auto"/>
        <w:outlineLvl w:val="9"/>
        <w:rPr>
          <w:rFonts w:hint="default" w:ascii="Times New Roman" w:hAnsi="Times New Roman" w:eastAsia="仿宋_GB2312" w:cs="Times New Roman"/>
          <w:b w:val="0"/>
          <w:bCs w:val="0"/>
          <w:kern w:val="0"/>
          <w:position w:val="0"/>
          <w:sz w:val="32"/>
          <w:szCs w:val="32"/>
          <w:highlight w:val="none"/>
          <w:lang w:val="en-US" w:eastAsia="zh-CN" w:bidi="ar-SA"/>
        </w:rPr>
      </w:pPr>
    </w:p>
    <w:p w14:paraId="081090C5">
      <w:pPr>
        <w:pStyle w:val="5"/>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zh-CN"/>
        </w:rPr>
        <w:t>附件</w:t>
      </w:r>
      <w:r>
        <w:rPr>
          <w:rFonts w:hint="eastAsia" w:ascii="Times New Roman" w:eastAsia="黑体" w:cs="Times New Roman"/>
          <w:color w:val="auto"/>
          <w:kern w:val="0"/>
          <w:sz w:val="32"/>
          <w:szCs w:val="32"/>
          <w:highlight w:val="none"/>
          <w:shd w:val="clear" w:color="auto" w:fill="FFFFFF"/>
          <w:lang w:val="en-US" w:eastAsia="zh-CN"/>
        </w:rPr>
        <w:t>4</w:t>
      </w:r>
    </w:p>
    <w:p w14:paraId="1B4B634C">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b w:val="0"/>
          <w:bCs w:val="0"/>
          <w:kern w:val="0"/>
          <w:position w:val="0"/>
          <w:sz w:val="32"/>
          <w:szCs w:val="32"/>
          <w:highlight w:val="none"/>
          <w:lang w:val="en-US" w:eastAsia="zh-CN" w:bidi="ar-SA"/>
        </w:rPr>
      </w:pPr>
    </w:p>
    <w:p w14:paraId="76C0CE00">
      <w:pPr>
        <w:pStyle w:val="37"/>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auto"/>
          <w:kern w:val="2"/>
          <w:sz w:val="40"/>
          <w:szCs w:val="40"/>
        </w:rPr>
      </w:pPr>
      <w:bookmarkStart w:id="54" w:name="_Toc15396618"/>
      <w:r>
        <w:rPr>
          <w:rFonts w:hint="default" w:ascii="Times New Roman" w:hAnsi="Times New Roman" w:eastAsia="方正小标宋简体" w:cs="Times New Roman"/>
          <w:color w:val="auto"/>
          <w:kern w:val="2"/>
          <w:sz w:val="40"/>
          <w:szCs w:val="40"/>
        </w:rPr>
        <w:t>攀枝花市社会保险事务中心</w:t>
      </w:r>
    </w:p>
    <w:p w14:paraId="73A585A9">
      <w:pPr>
        <w:pStyle w:val="37"/>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color w:val="auto"/>
          <w:kern w:val="2"/>
          <w:sz w:val="40"/>
          <w:szCs w:val="40"/>
          <w:lang w:val="en-US"/>
        </w:rPr>
        <w:t>202</w:t>
      </w:r>
      <w:r>
        <w:rPr>
          <w:rFonts w:hint="default" w:ascii="Times New Roman" w:hAnsi="Times New Roman" w:eastAsia="方正小标宋简体" w:cs="Times New Roman"/>
          <w:color w:val="auto"/>
          <w:kern w:val="2"/>
          <w:sz w:val="40"/>
          <w:szCs w:val="40"/>
          <w:lang w:val="en-US" w:eastAsia="zh-CN"/>
        </w:rPr>
        <w:t>4</w:t>
      </w:r>
      <w:r>
        <w:rPr>
          <w:rFonts w:hint="default" w:ascii="Times New Roman" w:hAnsi="Times New Roman" w:eastAsia="方正小标宋简体" w:cs="Times New Roman"/>
          <w:color w:val="auto"/>
          <w:kern w:val="2"/>
          <w:sz w:val="40"/>
          <w:szCs w:val="40"/>
          <w:lang w:val="en-US"/>
        </w:rPr>
        <w:t>年</w:t>
      </w:r>
      <w:r>
        <w:rPr>
          <w:rFonts w:hint="default" w:ascii="Times New Roman" w:hAnsi="Times New Roman" w:eastAsia="方正小标宋简体" w:cs="Times New Roman"/>
          <w:color w:val="auto"/>
          <w:kern w:val="2"/>
          <w:sz w:val="40"/>
          <w:szCs w:val="40"/>
          <w:lang w:val="en-US" w:eastAsia="zh-CN"/>
        </w:rPr>
        <w:t>省管森工社会化管理工作经费</w:t>
      </w:r>
    </w:p>
    <w:p w14:paraId="56D7BC7B">
      <w:pPr>
        <w:pStyle w:val="37"/>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简体" w:cs="Times New Roman"/>
          <w:color w:val="auto"/>
          <w:kern w:val="2"/>
          <w:sz w:val="40"/>
          <w:szCs w:val="40"/>
        </w:rPr>
      </w:pPr>
      <w:r>
        <w:rPr>
          <w:rFonts w:hint="default" w:ascii="Times New Roman" w:hAnsi="Times New Roman" w:eastAsia="方正小标宋简体" w:cs="Times New Roman"/>
          <w:color w:val="auto"/>
          <w:kern w:val="2"/>
          <w:sz w:val="40"/>
          <w:szCs w:val="40"/>
        </w:rPr>
        <w:t>专项预算项目支出绩效自评报告</w:t>
      </w:r>
    </w:p>
    <w:p w14:paraId="443AF6A4">
      <w:pPr>
        <w:pStyle w:val="37"/>
        <w:keepNext w:val="0"/>
        <w:keepLines w:val="0"/>
        <w:pageBreakBefore w:val="0"/>
        <w:kinsoku/>
        <w:wordWrap/>
        <w:overflowPunct/>
        <w:topLinePunct w:val="0"/>
        <w:autoSpaceDE/>
        <w:autoSpaceDN/>
        <w:bidi w:val="0"/>
        <w:spacing w:line="600" w:lineRule="exact"/>
        <w:ind w:firstLine="640"/>
        <w:jc w:val="center"/>
        <w:textAlignment w:val="auto"/>
        <w:rPr>
          <w:rFonts w:hint="default" w:ascii="Times New Roman" w:hAnsi="Times New Roman" w:cs="Times New Roman"/>
          <w:color w:val="auto"/>
          <w:kern w:val="2"/>
          <w:sz w:val="32"/>
          <w:szCs w:val="32"/>
        </w:rPr>
      </w:pPr>
    </w:p>
    <w:p w14:paraId="0F575A2C">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40C1B964">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14:paraId="7DA65E01">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说明项目单位在该项目管理中的职能。</w:t>
      </w:r>
    </w:p>
    <w:p w14:paraId="065B1FE0">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攀枝花市社会保险事务中心是“省管森工社会化管理工作经费”项目的实施主体，负责项目的实施、监督、管理等工作。承担城镇应参加企业养老保险单位和个人的社会保险登记、申报管理，建立和管理参保单位和个人缴费记录，按规定核准和支付参保人员的养老保险待遇开展与养老保险费征缴有关稽核工作，指导各县（区）社保经办机构开展相关工作。</w:t>
      </w:r>
    </w:p>
    <w:p w14:paraId="0D672311">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项目立项、资金申报的依据。</w:t>
      </w:r>
    </w:p>
    <w:p w14:paraId="2258B25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“省管森工社会化管理工作经费”</w:t>
      </w:r>
      <w:r>
        <w:rPr>
          <w:rFonts w:hint="default" w:ascii="Times New Roman" w:hAnsi="Times New Roman" w:eastAsia="仿宋_GB2312" w:cs="Times New Roman"/>
          <w:sz w:val="32"/>
          <w:szCs w:val="32"/>
          <w:lang w:val="zh-CN" w:eastAsia="zh-CN"/>
        </w:rPr>
        <w:t>项目资金由省级财政下拨，市级财政年中下达指标。</w:t>
      </w:r>
    </w:p>
    <w:p w14:paraId="079A216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资金管理办法制定情况，资金支持具体项目的条件、范围与支持方式概况。</w:t>
      </w:r>
    </w:p>
    <w:p w14:paraId="17199D6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为进一步规范省管森工社会化管理工作经费管理，提高资金使用绩效，严格按照《四川省财政厅四川省人力资源和社会保障厅关于印发〈森工人员退休管理专项资金管理办法〉的通知》(川财社〔20</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lang w:val="zh-CN" w:eastAsia="zh-CN"/>
        </w:rPr>
        <w:t>〕7号)文件要求使用资金。</w:t>
      </w:r>
    </w:p>
    <w:p w14:paraId="14D93280">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资金分配的原则及考虑因素。</w:t>
      </w:r>
    </w:p>
    <w:p w14:paraId="0B071590">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0000FF"/>
          <w:sz w:val="32"/>
          <w:szCs w:val="32"/>
          <w:lang w:eastAsia="zh-CN"/>
        </w:rPr>
      </w:pPr>
      <w:r>
        <w:rPr>
          <w:rFonts w:hint="default" w:ascii="Times New Roman" w:hAnsi="Times New Roman" w:eastAsia="仿宋_GB2312" w:cs="Times New Roman"/>
          <w:sz w:val="32"/>
          <w:szCs w:val="32"/>
          <w:lang w:val="zh-CN" w:eastAsia="zh-CN"/>
        </w:rPr>
        <w:t>四川省社会保险管理局根据相关基础数据和人均标准，研究提出资金分配方案，经人力资源社会保障厅、财政厅审核并按规定程序报批后，由财政厅、省社保局联合下达预算。</w:t>
      </w:r>
    </w:p>
    <w:p w14:paraId="41783508">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14:paraId="2534585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1.项目主要内容。</w:t>
      </w:r>
    </w:p>
    <w:p w14:paraId="5AF7DE3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“省管森工企业离退休人员社会化管理经费”项目资金主要用于确保全市社保经办机构代管的省管森工企业离退休人员基本养老金按时足额发放，提升省管森工企业离退休人员社会化管理服务水平。</w:t>
      </w:r>
    </w:p>
    <w:p w14:paraId="6A6E74E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项目应实现的具体绩效目标，包括目标的量化、细化情况以及项目实施进度计划等。</w:t>
      </w:r>
    </w:p>
    <w:p w14:paraId="6CF6B7A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）质量指标：按时足额发放率达到</w:t>
      </w:r>
      <w:r>
        <w:rPr>
          <w:rFonts w:hint="default" w:ascii="Times New Roman" w:hAnsi="Times New Roman" w:eastAsia="仿宋_GB2312" w:cs="Times New Roman"/>
          <w:sz w:val="32"/>
          <w:szCs w:val="32"/>
          <w:lang w:val="en-US" w:eastAsia="zh-CN"/>
        </w:rPr>
        <w:t>100%。</w:t>
      </w:r>
    </w:p>
    <w:p w14:paraId="3DAAB65C">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）数量指标：森工企业退休人员数量≥</w:t>
      </w:r>
      <w:r>
        <w:rPr>
          <w:rFonts w:hint="default" w:ascii="Times New Roman" w:hAnsi="Times New Roman" w:eastAsia="仿宋_GB2312" w:cs="Times New Roman"/>
          <w:sz w:val="32"/>
          <w:szCs w:val="32"/>
          <w:lang w:val="en-US" w:eastAsia="zh-CN"/>
        </w:rPr>
        <w:t>750人。</w:t>
      </w:r>
    </w:p>
    <w:p w14:paraId="4275AA4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（3）时效指标：</w:t>
      </w:r>
      <w:r>
        <w:rPr>
          <w:rFonts w:hint="default" w:ascii="Times New Roman" w:hAnsi="Times New Roman" w:eastAsia="仿宋_GB2312" w:cs="Times New Roman"/>
          <w:sz w:val="32"/>
          <w:szCs w:val="32"/>
          <w:lang w:val="en-US" w:eastAsia="zh-CN"/>
        </w:rPr>
        <w:t>1年内完成</w:t>
      </w:r>
      <w:r>
        <w:rPr>
          <w:rFonts w:hint="default" w:ascii="Times New Roman" w:hAnsi="Times New Roman" w:eastAsia="仿宋_GB2312" w:cs="Times New Roman"/>
          <w:sz w:val="32"/>
          <w:szCs w:val="32"/>
          <w:lang w:val="zh-CN" w:eastAsia="zh-CN"/>
        </w:rPr>
        <w:t>。</w:t>
      </w:r>
    </w:p>
    <w:p w14:paraId="681039B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）成本指标：</w:t>
      </w:r>
      <w:r>
        <w:rPr>
          <w:rFonts w:hint="default" w:ascii="Times New Roman" w:hAnsi="Times New Roman" w:eastAsia="仿宋_GB2312" w:cs="Times New Roman"/>
          <w:sz w:val="32"/>
          <w:szCs w:val="32"/>
          <w:lang w:val="en-US" w:eastAsia="zh-CN"/>
        </w:rPr>
        <w:t>社会化管理工作成本7.69万元</w:t>
      </w:r>
      <w:r>
        <w:rPr>
          <w:rFonts w:hint="default" w:ascii="Times New Roman" w:hAnsi="Times New Roman" w:eastAsia="仿宋_GB2312" w:cs="Times New Roman"/>
          <w:sz w:val="32"/>
          <w:szCs w:val="32"/>
          <w:lang w:val="zh-CN" w:eastAsia="zh-CN"/>
        </w:rPr>
        <w:t>。</w:t>
      </w:r>
    </w:p>
    <w:p w14:paraId="020E33D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zh-CN" w:eastAsia="zh-CN"/>
        </w:rPr>
        <w:t>）社会效益指标：人民群众获得感、幸福感增强，维护社会稳定。</w:t>
      </w:r>
    </w:p>
    <w:p w14:paraId="02136ADC">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zh-CN" w:eastAsia="zh-CN"/>
        </w:rPr>
        <w:t>）满意度指标：森工退休人员满意度≥90%。</w:t>
      </w:r>
    </w:p>
    <w:p w14:paraId="0C07981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eastAsia="zh-CN"/>
        </w:rPr>
        <w:t>分析评价申报内容是否与实际相符，申报目标是否合理可行。</w:t>
      </w:r>
    </w:p>
    <w:p w14:paraId="1E15B36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市社会保险事务中心按照20</w:t>
      </w:r>
      <w:r>
        <w:rPr>
          <w:rFonts w:hint="default"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lang w:val="zh-CN" w:eastAsia="zh-CN"/>
        </w:rPr>
        <w:t>年目标任务制定绩效目标，申报内容与实际相符，申报目标合理可行。</w:t>
      </w:r>
    </w:p>
    <w:p w14:paraId="71A07E7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14:paraId="0A06FDE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市社会保险事务中心项目绩效评价按照前期准备阶段、自评阶段、实施评价阶段、报告撰写阶段、结果运用阶段五个阶段的工作流程。办公室成立项目评价小组对项目资金执行情况进行自查自评。</w:t>
      </w:r>
    </w:p>
    <w:p w14:paraId="32BE91E2">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69029193">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“省管森工社会化管理工作经费”项目资金共</w:t>
      </w:r>
      <w:r>
        <w:rPr>
          <w:rFonts w:hint="default" w:ascii="Times New Roman" w:hAnsi="Times New Roman" w:eastAsia="仿宋_GB2312" w:cs="Times New Roman"/>
          <w:sz w:val="32"/>
          <w:szCs w:val="32"/>
          <w:lang w:val="en-US" w:eastAsia="zh-CN"/>
        </w:rPr>
        <w:t>7.69</w:t>
      </w:r>
      <w:r>
        <w:rPr>
          <w:rFonts w:hint="default" w:ascii="Times New Roman" w:hAnsi="Times New Roman" w:eastAsia="仿宋_GB2312" w:cs="Times New Roman"/>
          <w:sz w:val="32"/>
          <w:szCs w:val="32"/>
          <w:lang w:val="zh-CN" w:eastAsia="zh-CN"/>
        </w:rPr>
        <w:t>万元，资金支付完成100%。</w:t>
      </w:r>
    </w:p>
    <w:p w14:paraId="47BBE6F4">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14:paraId="0B44F54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“省管森工社会化管理工作经费”项目资金由省级财政下拨，</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市社会保险事务中心在“预算管理一体化系统”中申报项目资金，市级财政完成批复并下达指标。</w:t>
      </w:r>
    </w:p>
    <w:p w14:paraId="0E3606F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w:t>
      </w:r>
    </w:p>
    <w:p w14:paraId="5B2A9519">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lang w:val="zh-CN"/>
        </w:rPr>
        <w:t>资金计划。</w:t>
      </w:r>
    </w:p>
    <w:p w14:paraId="63474B3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7.69</w:t>
      </w:r>
      <w:r>
        <w:rPr>
          <w:rFonts w:hint="default" w:ascii="Times New Roman" w:hAnsi="Times New Roman" w:eastAsia="仿宋_GB2312" w:cs="Times New Roman"/>
          <w:sz w:val="32"/>
          <w:szCs w:val="32"/>
          <w:lang w:val="zh-CN" w:eastAsia="zh-CN"/>
        </w:rPr>
        <w:t>万元，主要用于开展省管重点森工企业离退休人员基本养老保险待遇发放和领取资格认证工作。</w:t>
      </w:r>
    </w:p>
    <w:p w14:paraId="1A36BA0B">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lang w:val="zh-CN"/>
        </w:rPr>
        <w:t>资金到位。</w:t>
      </w:r>
    </w:p>
    <w:p w14:paraId="03A9103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此项目资金</w:t>
      </w:r>
      <w:r>
        <w:rPr>
          <w:rFonts w:hint="default" w:ascii="Times New Roman" w:hAnsi="Times New Roman" w:eastAsia="仿宋_GB2312" w:cs="Times New Roman"/>
          <w:sz w:val="32"/>
          <w:szCs w:val="32"/>
          <w:lang w:val="en-US" w:eastAsia="zh-CN"/>
        </w:rPr>
        <w:t>7.69</w:t>
      </w:r>
      <w:r>
        <w:rPr>
          <w:rFonts w:hint="default" w:ascii="Times New Roman" w:hAnsi="Times New Roman" w:eastAsia="仿宋_GB2312" w:cs="Times New Roman"/>
          <w:sz w:val="32"/>
          <w:szCs w:val="32"/>
          <w:lang w:val="zh-CN" w:eastAsia="zh-CN"/>
        </w:rPr>
        <w:t>万元，于202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年中由市级财政批复并下达预算指标，到位率100%。</w:t>
      </w:r>
    </w:p>
    <w:p w14:paraId="51CAD5E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lang w:val="zh-CN"/>
        </w:rPr>
        <w:t>资金使用。</w:t>
      </w:r>
    </w:p>
    <w:p w14:paraId="2E1A095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此项目资金主要</w:t>
      </w:r>
      <w:r>
        <w:rPr>
          <w:rFonts w:hint="default" w:ascii="Times New Roman" w:hAnsi="Times New Roman" w:eastAsia="仿宋_GB2312" w:cs="Times New Roman"/>
          <w:sz w:val="32"/>
          <w:szCs w:val="32"/>
          <w:lang w:val="zh-CN" w:eastAsia="zh-CN"/>
        </w:rPr>
        <w:t>用于</w:t>
      </w: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zh-CN" w:eastAsia="zh-CN"/>
        </w:rPr>
        <w:t>市社会保险事务中心确</w:t>
      </w:r>
      <w:r>
        <w:rPr>
          <w:rFonts w:hint="default" w:ascii="Times New Roman" w:hAnsi="Times New Roman" w:eastAsia="仿宋_GB2312" w:cs="Times New Roman"/>
          <w:sz w:val="32"/>
          <w:szCs w:val="32"/>
          <w:lang w:val="en-US" w:eastAsia="zh-CN"/>
        </w:rPr>
        <w:t>保全市社保经办机构代管的省管森工企业离退休人员基本养老金按时足额发放，提升省管森工企业离退休人员社会化管理服务水平。</w:t>
      </w:r>
      <w:r>
        <w:rPr>
          <w:rFonts w:hint="default" w:ascii="Times New Roman" w:hAnsi="Times New Roman" w:eastAsia="仿宋_GB2312" w:cs="Times New Roman"/>
          <w:sz w:val="32"/>
          <w:szCs w:val="32"/>
          <w:lang w:val="zh-CN" w:eastAsia="zh-CN"/>
        </w:rPr>
        <w:t>资金</w:t>
      </w:r>
      <w:r>
        <w:rPr>
          <w:rFonts w:hint="default" w:ascii="Times New Roman" w:hAnsi="Times New Roman" w:eastAsia="仿宋_GB2312" w:cs="Times New Roman"/>
          <w:sz w:val="32"/>
          <w:szCs w:val="32"/>
          <w:lang w:val="en-US" w:eastAsia="zh-CN"/>
        </w:rPr>
        <w:t>到位后，市社会保险事务中心严格按财经纪律、财务管理等相关规定，严格审核各项支出，及时支付，资金支付完成100%。</w:t>
      </w:r>
    </w:p>
    <w:p w14:paraId="7CE9687F">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14:paraId="5DDB4B2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w:t>
      </w:r>
      <w:r>
        <w:rPr>
          <w:rFonts w:hint="default" w:ascii="Times New Roman" w:hAnsi="Times New Roman" w:eastAsia="仿宋_GB2312" w:cs="Times New Roman"/>
          <w:sz w:val="32"/>
          <w:szCs w:val="32"/>
          <w:lang w:val="zh-CN" w:eastAsia="zh-CN"/>
        </w:rPr>
        <w:t>建立了财务管理制度，由办公室统一管理</w:t>
      </w:r>
      <w:r>
        <w:rPr>
          <w:rFonts w:hint="default" w:ascii="Times New Roman" w:hAnsi="Times New Roman" w:eastAsia="仿宋_GB2312" w:cs="Times New Roman"/>
          <w:sz w:val="32"/>
          <w:szCs w:val="32"/>
          <w:lang w:val="en-US" w:eastAsia="zh-CN"/>
        </w:rPr>
        <w:t xml:space="preserve"> “省管森工社会化管理工作经费”</w:t>
      </w:r>
      <w:r>
        <w:rPr>
          <w:rFonts w:hint="default" w:ascii="Times New Roman" w:hAnsi="Times New Roman" w:eastAsia="仿宋_GB2312" w:cs="Times New Roman"/>
          <w:sz w:val="32"/>
          <w:szCs w:val="32"/>
          <w:lang w:val="zh-CN" w:eastAsia="zh-CN"/>
        </w:rPr>
        <w:t>项目资金，</w:t>
      </w:r>
      <w:r>
        <w:rPr>
          <w:rFonts w:hint="default" w:ascii="Times New Roman" w:hAnsi="Times New Roman" w:eastAsia="仿宋_GB2312" w:cs="Times New Roman"/>
          <w:sz w:val="32"/>
          <w:szCs w:val="32"/>
          <w:lang w:val="en-US" w:eastAsia="zh-CN"/>
        </w:rPr>
        <w:t>严格按照上级要求上报资金使用计划，并在实施过程中做到资金专项专用。所有支出严格按照财务会计管理规定，做到资金使用有计划、审批有手续、支出合理规范。并</w:t>
      </w:r>
      <w:r>
        <w:rPr>
          <w:rFonts w:hint="default" w:ascii="Times New Roman" w:hAnsi="Times New Roman" w:eastAsia="仿宋_GB2312" w:cs="Times New Roman"/>
          <w:sz w:val="32"/>
          <w:szCs w:val="32"/>
          <w:lang w:val="zh-CN" w:eastAsia="zh-CN"/>
        </w:rPr>
        <w:t>及时进行账务处理和会计核算，按财政要求及时编制和公开项目资金绩效目标。</w:t>
      </w:r>
    </w:p>
    <w:p w14:paraId="7D8F05D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6F4F44ED">
      <w:pPr>
        <w:keepNext w:val="0"/>
        <w:keepLines w:val="0"/>
        <w:pageBreakBefore w:val="0"/>
        <w:numPr>
          <w:ilvl w:val="0"/>
          <w:numId w:val="3"/>
        </w:numPr>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项目组织架构及实施流程</w:t>
      </w:r>
    </w:p>
    <w:p w14:paraId="4D1DCFA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办公室在部门预算中申报项目资金，并制定绩效目标；按照项目执行情况在“预算管理一体化系统”中完成资金的申请和支付。</w:t>
      </w:r>
      <w:r>
        <w:rPr>
          <w:rFonts w:hint="default" w:ascii="Times New Roman" w:hAnsi="Times New Roman" w:eastAsia="仿宋_GB2312" w:cs="Times New Roman"/>
          <w:sz w:val="32"/>
          <w:szCs w:val="32"/>
          <w:lang w:val="en-US" w:eastAsia="zh-CN"/>
        </w:rPr>
        <w:t>稽核科成立项目督导检查工作小组，不定期对项目执行进度情况进行督导检查</w:t>
      </w:r>
      <w:r>
        <w:rPr>
          <w:rFonts w:hint="default" w:ascii="Times New Roman" w:hAnsi="Times New Roman" w:eastAsia="仿宋_GB2312" w:cs="Times New Roman"/>
          <w:sz w:val="32"/>
          <w:szCs w:val="32"/>
          <w:lang w:val="zh-CN" w:eastAsia="zh-CN"/>
        </w:rPr>
        <w:t>。</w:t>
      </w:r>
    </w:p>
    <w:p w14:paraId="5C3900ED">
      <w:pPr>
        <w:keepNext w:val="0"/>
        <w:keepLines w:val="0"/>
        <w:pageBreakBefore w:val="0"/>
        <w:numPr>
          <w:ilvl w:val="0"/>
          <w:numId w:val="3"/>
        </w:numPr>
        <w:kinsoku/>
        <w:wordWrap/>
        <w:overflowPunct/>
        <w:topLinePunct w:val="0"/>
        <w:autoSpaceDE/>
        <w:autoSpaceDN/>
        <w:bidi w:val="0"/>
        <w:adjustRightInd w:val="0"/>
        <w:snapToGrid w:val="0"/>
        <w:spacing w:line="600" w:lineRule="exact"/>
        <w:ind w:left="0" w:leftChars="0" w:firstLine="720" w:firstLineChars="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项目管理情况</w:t>
      </w:r>
    </w:p>
    <w:p w14:paraId="3D0AAA4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严格按照《四川省财政厅四川省人力资源和社会保障厅关于印发〈森工人员退休管理专项资金管理办法〉的通知》(川财社〔20</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lang w:val="zh-CN" w:eastAsia="zh-CN"/>
        </w:rPr>
        <w:t>〕7号)文件要求使用项目资金。</w:t>
      </w:r>
    </w:p>
    <w:p w14:paraId="4DD43657">
      <w:pPr>
        <w:keepNext w:val="0"/>
        <w:keepLines w:val="0"/>
        <w:pageBreakBefore w:val="0"/>
        <w:numPr>
          <w:ilvl w:val="0"/>
          <w:numId w:val="0"/>
        </w:numPr>
        <w:kinsoku/>
        <w:wordWrap/>
        <w:overflowPunct/>
        <w:topLinePunct w:val="0"/>
        <w:autoSpaceDE/>
        <w:autoSpaceDN/>
        <w:bidi w:val="0"/>
        <w:adjustRightInd w:val="0"/>
        <w:snapToGrid w:val="0"/>
        <w:spacing w:line="600" w:lineRule="exact"/>
        <w:ind w:left="720" w:leftChars="0"/>
        <w:textAlignment w:val="auto"/>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（三）项目监管情况</w:t>
      </w:r>
    </w:p>
    <w:p w14:paraId="1FB1D34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市社会保险事务中心稽核科成立项目督导检查工作小组，不定期对项目执行进度情况进行督导检查，对检查过程中发现的问题及时督促整改，确保了项目按时保质完成。</w:t>
      </w:r>
    </w:p>
    <w:p w14:paraId="2EAC2C49">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68AC4E7D">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14:paraId="769DFF9F">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“省管森工社会化管理工作经费”项目在当期完成了项目的总体实施，执行率100%。确保代管的省管森工企业离退休人员基本养老金按时足额发放，提升省管森工企业离退休人员社会化管理服务水平。</w:t>
      </w:r>
    </w:p>
    <w:p w14:paraId="3F998674">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（1）质量指标：按时足额发放率达到100%。</w:t>
      </w:r>
    </w:p>
    <w:p w14:paraId="26974631">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（2）数量指标：森工企业退休人员数量≥750人。</w:t>
      </w:r>
    </w:p>
    <w:p w14:paraId="7FD6007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（3）时效指标：1年内完成。</w:t>
      </w:r>
    </w:p>
    <w:p w14:paraId="0D0AC0A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（4）成本指标：社会化管理工作成本7.69万元。</w:t>
      </w:r>
    </w:p>
    <w:p w14:paraId="7A9E638A">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（5）社会效益指标：人民群众获得感、幸福感增强，维护社会稳定。</w:t>
      </w:r>
    </w:p>
    <w:p w14:paraId="34D2F0F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（6）满意度指标：森工退休人员满意度≥90%。</w:t>
      </w:r>
    </w:p>
    <w:p w14:paraId="383FEAFF">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14:paraId="582C426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w:t>
      </w:r>
      <w:r>
        <w:rPr>
          <w:rFonts w:hint="default" w:ascii="Times New Roman" w:hAnsi="Times New Roman" w:eastAsia="仿宋_GB2312" w:cs="Times New Roman"/>
          <w:sz w:val="32"/>
          <w:szCs w:val="32"/>
          <w:lang w:val="en-US" w:eastAsia="zh-CN"/>
        </w:rPr>
        <w:t>市社会保险事务中心</w:t>
      </w:r>
      <w:r>
        <w:rPr>
          <w:rFonts w:hint="default" w:ascii="Times New Roman" w:hAnsi="Times New Roman" w:eastAsia="仿宋_GB2312" w:cs="Times New Roman"/>
          <w:sz w:val="32"/>
          <w:szCs w:val="32"/>
          <w:lang w:val="zh-CN" w:eastAsia="zh-CN"/>
        </w:rPr>
        <w:t>按照</w:t>
      </w:r>
      <w:r>
        <w:rPr>
          <w:rFonts w:hint="default" w:ascii="Times New Roman" w:hAnsi="Times New Roman" w:eastAsia="仿宋_GB2312" w:cs="Times New Roman"/>
          <w:sz w:val="32"/>
          <w:szCs w:val="32"/>
          <w:lang w:val="en-US" w:eastAsia="zh-CN"/>
        </w:rPr>
        <w:t>人力资源社会保障</w:t>
      </w:r>
      <w:r>
        <w:rPr>
          <w:rFonts w:hint="default" w:ascii="Times New Roman" w:hAnsi="Times New Roman" w:eastAsia="仿宋_GB2312" w:cs="Times New Roman"/>
          <w:sz w:val="32"/>
          <w:szCs w:val="32"/>
          <w:lang w:val="zh-CN" w:eastAsia="zh-CN"/>
        </w:rPr>
        <w:t>厅、省</w:t>
      </w:r>
      <w:r>
        <w:rPr>
          <w:rFonts w:hint="default" w:ascii="Times New Roman" w:hAnsi="Times New Roman" w:eastAsia="仿宋_GB2312" w:cs="Times New Roman"/>
          <w:sz w:val="32"/>
          <w:szCs w:val="32"/>
          <w:lang w:val="en-US" w:eastAsia="zh-CN"/>
        </w:rPr>
        <w:t>社会保险管理</w:t>
      </w:r>
      <w:r>
        <w:rPr>
          <w:rFonts w:hint="default" w:ascii="Times New Roman" w:hAnsi="Times New Roman" w:eastAsia="仿宋_GB2312" w:cs="Times New Roman"/>
          <w:sz w:val="32"/>
          <w:szCs w:val="32"/>
          <w:lang w:val="zh-CN" w:eastAsia="zh-CN"/>
        </w:rPr>
        <w:t>局当年下达的绩效目标，严格执行，提高财政资金使用效益，确保202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zh-CN" w:eastAsia="zh-CN"/>
        </w:rPr>
        <w:t>年度绩效目标如期完成。</w:t>
      </w:r>
      <w:r>
        <w:rPr>
          <w:rFonts w:hint="default" w:ascii="Times New Roman" w:hAnsi="Times New Roman" w:eastAsia="仿宋_GB2312" w:cs="Times New Roman"/>
          <w:sz w:val="32"/>
          <w:szCs w:val="32"/>
          <w:lang w:val="en-US" w:eastAsia="zh-CN"/>
        </w:rPr>
        <w:t>确保了全市社保经办机构代管的省管森工企业离退休人员基本养老金按时足额发放，提升了省管森工企业离退休人员社会化管理服务水平，省管森工离退休人员满意度≥95%。</w:t>
      </w:r>
    </w:p>
    <w:p w14:paraId="6224B9AB">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41A47911">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14:paraId="6029680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lang w:val="zh-CN" w:eastAsia="zh-CN"/>
        </w:rPr>
        <w:t>项目决策</w:t>
      </w:r>
      <w:r>
        <w:rPr>
          <w:rFonts w:hint="default" w:ascii="Times New Roman" w:hAnsi="Times New Roman" w:eastAsia="楷体_GB2312" w:cs="Times New Roman"/>
          <w:color w:val="auto"/>
          <w:sz w:val="32"/>
          <w:szCs w:val="32"/>
          <w:lang w:eastAsia="zh-CN"/>
        </w:rPr>
        <w:t>。</w:t>
      </w:r>
    </w:p>
    <w:p w14:paraId="326233C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设立、调整延续等方面符合资金管理基本规范和决策程序要求，项目规划论证符合中省要求，项目绩效目标设置是否科学合理，属于政府支持范围，且符合财政事权支出责任划分规定，资金投向与项目总体规划、相关行业事业发展相匹配，项目制度办法体系健全、要素完备。</w:t>
      </w:r>
    </w:p>
    <w:p w14:paraId="56C73F7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eastAsia="zh-CN"/>
        </w:rPr>
      </w:pPr>
      <w:r>
        <w:rPr>
          <w:rFonts w:hint="default" w:ascii="Times New Roman" w:hAnsi="Times New Roman" w:eastAsia="楷体_GB2312" w:cs="Times New Roman"/>
          <w:color w:val="auto"/>
          <w:sz w:val="32"/>
          <w:szCs w:val="32"/>
          <w:lang w:val="en-US" w:eastAsia="zh-CN"/>
        </w:rPr>
        <w:t>2.</w:t>
      </w:r>
      <w:r>
        <w:rPr>
          <w:rFonts w:hint="default" w:ascii="Times New Roman" w:hAnsi="Times New Roman" w:eastAsia="楷体_GB2312" w:cs="Times New Roman"/>
          <w:color w:val="auto"/>
          <w:sz w:val="32"/>
          <w:szCs w:val="32"/>
          <w:lang w:eastAsia="zh-CN"/>
        </w:rPr>
        <w:t>项目管理。</w:t>
      </w:r>
    </w:p>
    <w:p w14:paraId="3E22D156">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按实际区域分配结果选择客观因素测算验证资金分配科学合理、均衡公平。资金实际支持对象符合管理要求，符合支持对象范围。</w:t>
      </w:r>
    </w:p>
    <w:p w14:paraId="41CD9E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3.项目实施。</w:t>
      </w:r>
    </w:p>
    <w:p w14:paraId="21779B27">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此项目资金7.69万元，2024年中由市级财政下达预算指标，</w:t>
      </w:r>
      <w:r>
        <w:rPr>
          <w:rFonts w:hint="default" w:ascii="Times New Roman" w:hAnsi="Times New Roman" w:eastAsia="仿宋_GB2312" w:cs="Times New Roman"/>
          <w:sz w:val="32"/>
          <w:szCs w:val="32"/>
          <w:lang w:val="zh-CN" w:eastAsia="zh-CN"/>
        </w:rPr>
        <w:t>到位率100%。</w:t>
      </w:r>
      <w:r>
        <w:rPr>
          <w:rFonts w:hint="default" w:ascii="Times New Roman" w:hAnsi="Times New Roman" w:eastAsia="仿宋_GB2312" w:cs="Times New Roman"/>
          <w:sz w:val="32"/>
          <w:szCs w:val="32"/>
          <w:lang w:val="en-US" w:eastAsia="zh-CN"/>
        </w:rPr>
        <w:t>主要</w:t>
      </w:r>
      <w:r>
        <w:rPr>
          <w:rFonts w:hint="default" w:ascii="Times New Roman" w:hAnsi="Times New Roman" w:eastAsia="仿宋_GB2312" w:cs="Times New Roman"/>
          <w:sz w:val="32"/>
          <w:szCs w:val="32"/>
          <w:lang w:val="zh-CN" w:eastAsia="zh-CN"/>
        </w:rPr>
        <w:t>用于确</w:t>
      </w:r>
      <w:r>
        <w:rPr>
          <w:rFonts w:hint="default" w:ascii="Times New Roman" w:hAnsi="Times New Roman" w:eastAsia="仿宋_GB2312" w:cs="Times New Roman"/>
          <w:sz w:val="32"/>
          <w:szCs w:val="32"/>
          <w:lang w:val="en-US" w:eastAsia="zh-CN"/>
        </w:rPr>
        <w:t>保全市社保经办机构代管的省管森工企业离退休人员基本养老金按时足额发放，提升省管森工企业离退休人员社会化管理服务水平。</w:t>
      </w:r>
      <w:r>
        <w:rPr>
          <w:rFonts w:hint="default" w:ascii="Times New Roman" w:hAnsi="Times New Roman" w:eastAsia="仿宋_GB2312" w:cs="Times New Roman"/>
          <w:sz w:val="32"/>
          <w:szCs w:val="32"/>
          <w:lang w:val="zh-CN" w:eastAsia="zh-CN"/>
        </w:rPr>
        <w:t>资金</w:t>
      </w:r>
      <w:r>
        <w:rPr>
          <w:rFonts w:hint="default" w:ascii="Times New Roman" w:hAnsi="Times New Roman" w:eastAsia="仿宋_GB2312" w:cs="Times New Roman"/>
          <w:sz w:val="32"/>
          <w:szCs w:val="32"/>
          <w:lang w:val="en-US" w:eastAsia="zh-CN"/>
        </w:rPr>
        <w:t>到位后，市社会保险事务中心严格按财经纪律、财务管理等相关规定，严格审核各项支出，及时支付，资金支付完成100%。</w:t>
      </w:r>
    </w:p>
    <w:p w14:paraId="503512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4.项目结果。</w:t>
      </w:r>
    </w:p>
    <w:p w14:paraId="64830C42">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2024年为省管森工企业离退休人员完善了社会化服务管理信息，离退休人员社会化管理率达到100%。</w:t>
      </w:r>
    </w:p>
    <w:p w14:paraId="49B75709">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“省管森工企业离退休人员社会化管理经费”项目在当期完成了项目的总体实施，执行率100%。确保代管的省管森工企业离退休人员基本养老金按时足额发放，提升省管森工企业离退休人员社会化管理服务水平。</w:t>
      </w:r>
    </w:p>
    <w:p w14:paraId="752D5479">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14:paraId="061515EB">
      <w:pPr>
        <w:keepNext w:val="0"/>
        <w:keepLines w:val="0"/>
        <w:pageBreakBefore w:val="0"/>
        <w:kinsoku/>
        <w:wordWrap/>
        <w:overflowPunct/>
        <w:topLinePunct w:val="0"/>
        <w:autoSpaceDE/>
        <w:autoSpaceDN/>
        <w:bidi w:val="0"/>
        <w:spacing w:line="600" w:lineRule="exact"/>
        <w:ind w:firstLine="960" w:firstLineChars="3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无。</w:t>
      </w:r>
    </w:p>
    <w:p w14:paraId="354981E7">
      <w:pPr>
        <w:keepNext w:val="0"/>
        <w:keepLines w:val="0"/>
        <w:pageBreakBefore w:val="0"/>
        <w:kinsoku/>
        <w:wordWrap/>
        <w:overflowPunct/>
        <w:topLinePunct w:val="0"/>
        <w:autoSpaceDE/>
        <w:autoSpaceDN/>
        <w:bidi w:val="0"/>
        <w:adjustRightInd w:val="0"/>
        <w:snapToGrid w:val="0"/>
        <w:spacing w:line="60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14:paraId="5F411F4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强化预算资金精细化管理，提高预算资金科学性、合理性。严格根据相关标准和依据，进行资金使用，确保资金使用效益。</w:t>
      </w:r>
    </w:p>
    <w:p w14:paraId="0EB0F371">
      <w:pPr>
        <w:keepNext w:val="0"/>
        <w:keepLines w:val="0"/>
        <w:pageBreakBefore w:val="0"/>
        <w:widowControl w:val="0"/>
        <w:kinsoku/>
        <w:wordWrap/>
        <w:overflowPunct/>
        <w:topLinePunct w:val="0"/>
        <w:autoSpaceDE/>
        <w:autoSpaceDN/>
        <w:bidi w:val="0"/>
        <w:spacing w:line="600" w:lineRule="exact"/>
        <w:ind w:firstLine="640"/>
        <w:textAlignment w:val="auto"/>
        <w:outlineLvl w:val="9"/>
        <w:rPr>
          <w:rFonts w:hint="default" w:ascii="Times New Roman" w:hAnsi="Times New Roman" w:eastAsia="仿宋_GB2312" w:cs="Times New Roman"/>
          <w:b w:val="0"/>
          <w:bCs w:val="0"/>
          <w:kern w:val="0"/>
          <w:position w:val="0"/>
          <w:sz w:val="32"/>
          <w:szCs w:val="32"/>
          <w:highlight w:val="none"/>
          <w:lang w:val="en-US" w:eastAsia="zh-CN" w:bidi="ar-SA"/>
        </w:rPr>
      </w:pPr>
      <w:r>
        <w:rPr>
          <w:rFonts w:hint="default" w:ascii="Times New Roman" w:hAnsi="Times New Roman" w:eastAsia="仿宋_GB2312" w:cs="Times New Roman"/>
          <w:b w:val="0"/>
          <w:bCs w:val="0"/>
          <w:kern w:val="0"/>
          <w:position w:val="0"/>
          <w:sz w:val="32"/>
          <w:szCs w:val="32"/>
          <w:highlight w:val="none"/>
          <w:lang w:val="en-US" w:eastAsia="zh-CN" w:bidi="ar-SA"/>
        </w:rPr>
        <w:br w:type="page"/>
      </w:r>
    </w:p>
    <w:p w14:paraId="32CD32EF">
      <w:pPr>
        <w:widowControl/>
        <w:jc w:val="center"/>
        <w:rPr>
          <w:rFonts w:hint="default" w:ascii="Times New Roman" w:hAnsi="Times New Roman" w:eastAsia="仿宋" w:cs="Times New Roman"/>
          <w:b w:val="0"/>
          <w:color w:val="auto"/>
          <w:highlight w:val="none"/>
        </w:rPr>
      </w:pPr>
      <w:r>
        <w:rPr>
          <w:rFonts w:hint="default" w:ascii="Times New Roman" w:hAnsi="Times New Roman" w:eastAsia="黑体" w:cs="Times New Roman"/>
          <w:color w:val="auto"/>
          <w:sz w:val="44"/>
          <w:szCs w:val="44"/>
          <w:highlight w:val="none"/>
        </w:rPr>
        <w:t>第</w:t>
      </w:r>
      <w:r>
        <w:rPr>
          <w:rStyle w:val="31"/>
          <w:rFonts w:hint="default" w:ascii="Times New Roman" w:hAnsi="Times New Roman" w:eastAsia="黑体" w:cs="Times New Roman"/>
          <w:b w:val="0"/>
          <w:color w:val="auto"/>
          <w:highlight w:val="none"/>
        </w:rPr>
        <w:t>五部分 附表</w:t>
      </w:r>
      <w:bookmarkEnd w:id="52"/>
      <w:bookmarkEnd w:id="54"/>
      <w:bookmarkStart w:id="55" w:name="_Toc15396619"/>
    </w:p>
    <w:p w14:paraId="1F18589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p>
    <w:p w14:paraId="70EEAAB7">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一、收入支出决算总表</w:t>
      </w:r>
      <w:bookmarkEnd w:id="55"/>
    </w:p>
    <w:p w14:paraId="295E7C4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6" w:name="_Toc15396620"/>
      <w:r>
        <w:rPr>
          <w:rFonts w:hint="default" w:ascii="Times New Roman" w:hAnsi="Times New Roman" w:eastAsia="仿宋_GB2312" w:cs="Times New Roman"/>
          <w:color w:val="auto"/>
          <w:sz w:val="32"/>
          <w:szCs w:val="32"/>
          <w:highlight w:val="none"/>
        </w:rPr>
        <w:t>二、收入决算表</w:t>
      </w:r>
      <w:bookmarkEnd w:id="56"/>
    </w:p>
    <w:p w14:paraId="1A36917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7" w:name="_Toc15396621"/>
      <w:r>
        <w:rPr>
          <w:rFonts w:hint="default" w:ascii="Times New Roman" w:hAnsi="Times New Roman" w:eastAsia="仿宋_GB2312" w:cs="Times New Roman"/>
          <w:color w:val="auto"/>
          <w:sz w:val="32"/>
          <w:szCs w:val="32"/>
          <w:highlight w:val="none"/>
        </w:rPr>
        <w:t>三、支出决算表</w:t>
      </w:r>
      <w:bookmarkEnd w:id="57"/>
    </w:p>
    <w:p w14:paraId="274594A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8" w:name="_Toc15396622"/>
      <w:r>
        <w:rPr>
          <w:rFonts w:hint="default" w:ascii="Times New Roman" w:hAnsi="Times New Roman" w:eastAsia="仿宋_GB2312" w:cs="Times New Roman"/>
          <w:color w:val="auto"/>
          <w:sz w:val="32"/>
          <w:szCs w:val="32"/>
          <w:highlight w:val="none"/>
        </w:rPr>
        <w:t>四、财政拨款收入支出决算总表</w:t>
      </w:r>
      <w:bookmarkEnd w:id="58"/>
    </w:p>
    <w:p w14:paraId="095FFEE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9" w:name="_Toc15396623"/>
      <w:r>
        <w:rPr>
          <w:rFonts w:hint="default" w:ascii="Times New Roman" w:hAnsi="Times New Roman" w:eastAsia="仿宋_GB2312" w:cs="Times New Roman"/>
          <w:color w:val="auto"/>
          <w:sz w:val="32"/>
          <w:szCs w:val="32"/>
          <w:highlight w:val="none"/>
        </w:rPr>
        <w:t>五、财政拨款支出决算明细表</w:t>
      </w:r>
      <w:bookmarkEnd w:id="59"/>
      <w:bookmarkStart w:id="60" w:name="_Toc15396624"/>
    </w:p>
    <w:p w14:paraId="2BB8E4BC">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六、一般公共预算财政拨款支出决算表</w:t>
      </w:r>
      <w:bookmarkEnd w:id="60"/>
    </w:p>
    <w:p w14:paraId="120D094B">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1" w:name="_Toc15396625"/>
      <w:r>
        <w:rPr>
          <w:rFonts w:hint="default" w:ascii="Times New Roman" w:hAnsi="Times New Roman" w:eastAsia="仿宋_GB2312" w:cs="Times New Roman"/>
          <w:color w:val="auto"/>
          <w:sz w:val="32"/>
          <w:szCs w:val="32"/>
          <w:highlight w:val="none"/>
        </w:rPr>
        <w:t>七、一般公共预算财政拨款支出决算明细表</w:t>
      </w:r>
      <w:bookmarkEnd w:id="61"/>
    </w:p>
    <w:p w14:paraId="4DF0640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2" w:name="_Toc15396626"/>
      <w:r>
        <w:rPr>
          <w:rFonts w:hint="default" w:ascii="Times New Roman" w:hAnsi="Times New Roman" w:eastAsia="仿宋_GB2312" w:cs="Times New Roman"/>
          <w:color w:val="auto"/>
          <w:sz w:val="32"/>
          <w:szCs w:val="32"/>
          <w:highlight w:val="none"/>
        </w:rPr>
        <w:t>八、一般公共预算财政拨款基本支出决算表</w:t>
      </w:r>
      <w:bookmarkEnd w:id="62"/>
    </w:p>
    <w:p w14:paraId="0880B84A">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3" w:name="_Toc15396627"/>
      <w:r>
        <w:rPr>
          <w:rFonts w:hint="default" w:ascii="Times New Roman" w:hAnsi="Times New Roman" w:eastAsia="仿宋_GB2312" w:cs="Times New Roman"/>
          <w:color w:val="auto"/>
          <w:sz w:val="32"/>
          <w:szCs w:val="32"/>
          <w:highlight w:val="none"/>
        </w:rPr>
        <w:t>九、一般公共预算财政拨款项目支出决算表</w:t>
      </w:r>
      <w:bookmarkEnd w:id="63"/>
    </w:p>
    <w:p w14:paraId="2D47B64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4" w:name="_Toc15396628"/>
      <w:r>
        <w:rPr>
          <w:rFonts w:hint="default" w:ascii="Times New Roman" w:hAnsi="Times New Roman" w:eastAsia="仿宋_GB2312" w:cs="Times New Roman"/>
          <w:color w:val="auto"/>
          <w:sz w:val="32"/>
          <w:szCs w:val="32"/>
          <w:highlight w:val="none"/>
        </w:rPr>
        <w:t>十、</w:t>
      </w:r>
      <w:bookmarkEnd w:id="64"/>
      <w:r>
        <w:rPr>
          <w:rFonts w:hint="default" w:ascii="Times New Roman" w:hAnsi="Times New Roman" w:eastAsia="仿宋_GB2312" w:cs="Times New Roman"/>
          <w:color w:val="auto"/>
          <w:sz w:val="32"/>
          <w:szCs w:val="32"/>
          <w:highlight w:val="none"/>
        </w:rPr>
        <w:t>政府性基金预算财政拨款收入支出决算表</w:t>
      </w:r>
    </w:p>
    <w:p w14:paraId="29E79C83">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5" w:name="_Toc15396629"/>
      <w:r>
        <w:rPr>
          <w:rFonts w:hint="default" w:ascii="Times New Roman" w:hAnsi="Times New Roman" w:eastAsia="仿宋_GB2312" w:cs="Times New Roman"/>
          <w:color w:val="auto"/>
          <w:sz w:val="32"/>
          <w:szCs w:val="32"/>
          <w:highlight w:val="none"/>
        </w:rPr>
        <w:t>十一、</w:t>
      </w:r>
      <w:bookmarkEnd w:id="65"/>
      <w:r>
        <w:rPr>
          <w:rFonts w:hint="default" w:ascii="Times New Roman" w:hAnsi="Times New Roman" w:eastAsia="仿宋_GB2312" w:cs="Times New Roman"/>
          <w:color w:val="auto"/>
          <w:sz w:val="32"/>
          <w:szCs w:val="32"/>
          <w:highlight w:val="none"/>
        </w:rPr>
        <w:t>国有资本经营预算</w:t>
      </w:r>
      <w:r>
        <w:rPr>
          <w:rFonts w:hint="default" w:ascii="Times New Roman" w:hAnsi="Times New Roman" w:eastAsia="仿宋_GB2312" w:cs="Times New Roman"/>
          <w:color w:val="auto"/>
          <w:sz w:val="32"/>
          <w:szCs w:val="32"/>
          <w:highlight w:val="none"/>
          <w:lang w:eastAsia="zh-CN"/>
        </w:rPr>
        <w:t>财政拨款收入</w:t>
      </w:r>
      <w:r>
        <w:rPr>
          <w:rFonts w:hint="default" w:ascii="Times New Roman" w:hAnsi="Times New Roman" w:eastAsia="仿宋_GB2312" w:cs="Times New Roman"/>
          <w:color w:val="auto"/>
          <w:sz w:val="32"/>
          <w:szCs w:val="32"/>
          <w:highlight w:val="none"/>
        </w:rPr>
        <w:t>支出决算表</w:t>
      </w:r>
    </w:p>
    <w:p w14:paraId="6A3FB79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6" w:name="_Toc15396630"/>
      <w:r>
        <w:rPr>
          <w:rFonts w:hint="default" w:ascii="Times New Roman" w:hAnsi="Times New Roman" w:eastAsia="仿宋_GB2312" w:cs="Times New Roman"/>
          <w:color w:val="auto"/>
          <w:sz w:val="32"/>
          <w:szCs w:val="32"/>
          <w:highlight w:val="none"/>
        </w:rPr>
        <w:t>十二、</w:t>
      </w:r>
      <w:bookmarkEnd w:id="66"/>
      <w:r>
        <w:rPr>
          <w:rFonts w:hint="default" w:ascii="Times New Roman" w:hAnsi="Times New Roman" w:eastAsia="仿宋_GB2312" w:cs="Times New Roman"/>
          <w:color w:val="auto"/>
          <w:sz w:val="32"/>
          <w:szCs w:val="32"/>
          <w:highlight w:val="none"/>
          <w:lang w:eastAsia="zh-CN"/>
        </w:rPr>
        <w:t>国有资本经营预算财政拨款支出决算表</w:t>
      </w:r>
    </w:p>
    <w:p w14:paraId="55FA7A8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eastAsia="zh-CN"/>
        </w:rPr>
      </w:pPr>
      <w:bookmarkStart w:id="67" w:name="_Toc15396631"/>
      <w:r>
        <w:rPr>
          <w:rFonts w:hint="default" w:ascii="Times New Roman" w:hAnsi="Times New Roman" w:eastAsia="仿宋_GB2312" w:cs="Times New Roman"/>
          <w:color w:val="auto"/>
          <w:sz w:val="32"/>
          <w:szCs w:val="32"/>
          <w:highlight w:val="none"/>
        </w:rPr>
        <w:t>十三、</w:t>
      </w:r>
      <w:bookmarkEnd w:id="67"/>
      <w:r>
        <w:rPr>
          <w:rFonts w:hint="default" w:ascii="Times New Roman" w:hAnsi="Times New Roman" w:eastAsia="仿宋_GB2312" w:cs="Times New Roman"/>
          <w:color w:val="auto"/>
          <w:sz w:val="32"/>
          <w:szCs w:val="32"/>
          <w:highlight w:val="none"/>
          <w:lang w:eastAsia="zh-CN"/>
        </w:rPr>
        <w:t>财政拨款“三公”经费支出决算表</w:t>
      </w:r>
    </w:p>
    <w:p w14:paraId="43D79B53">
      <w:pPr>
        <w:rPr>
          <w:rFonts w:hint="default" w:ascii="Times New Roman" w:hAnsi="Times New Roman" w:cs="Times New Roman"/>
          <w:lang w:eastAsia="zh-CN"/>
        </w:rPr>
      </w:pPr>
    </w:p>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微软雅黑"/>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8FB97">
    <w:pPr>
      <w:pStyle w:val="11"/>
      <w:jc w:val="center"/>
    </w:pPr>
  </w:p>
  <w:p w14:paraId="2067153C">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D0F0C">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BED0F0C">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233060C9">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83CF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9D655">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8A9D655">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8C40">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E93F3"/>
    <w:multiLevelType w:val="singleLevel"/>
    <w:tmpl w:val="81DE93F3"/>
    <w:lvl w:ilvl="0" w:tentative="0">
      <w:start w:val="2"/>
      <w:numFmt w:val="chineseCounting"/>
      <w:suff w:val="nothing"/>
      <w:lvlText w:val="（%1）"/>
      <w:lvlJc w:val="left"/>
      <w:rPr>
        <w:rFonts w:hint="eastAsia"/>
      </w:rPr>
    </w:lvl>
  </w:abstractNum>
  <w:abstractNum w:abstractNumId="1">
    <w:nsid w:val="F3831671"/>
    <w:multiLevelType w:val="singleLevel"/>
    <w:tmpl w:val="F3831671"/>
    <w:lvl w:ilvl="0" w:tentative="0">
      <w:start w:val="1"/>
      <w:numFmt w:val="chineseCounting"/>
      <w:suff w:val="nothing"/>
      <w:lvlText w:val="（%1）"/>
      <w:lvlJc w:val="left"/>
      <w:rPr>
        <w:rFonts w:hint="eastAsia"/>
      </w:rPr>
    </w:lvl>
  </w:abstractNum>
  <w:abstractNum w:abstractNumId="2">
    <w:nsid w:val="F9D33A30"/>
    <w:multiLevelType w:val="singleLevel"/>
    <w:tmpl w:val="F9D33A30"/>
    <w:lvl w:ilvl="0" w:tentative="0">
      <w:start w:val="2"/>
      <w:numFmt w:val="chineseCounting"/>
      <w:suff w:val="nothing"/>
      <w:lvlText w:val="（%1）"/>
      <w:lvlJc w:val="left"/>
      <w:rPr>
        <w:rFonts w:hint="eastAsia"/>
      </w:rPr>
    </w:lvl>
  </w:abstractNum>
  <w:abstractNum w:abstractNumId="3">
    <w:nsid w:val="5664BDFD"/>
    <w:multiLevelType w:val="singleLevel"/>
    <w:tmpl w:val="5664BDFD"/>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213098"/>
    <w:rsid w:val="027756BF"/>
    <w:rsid w:val="02FEBE30"/>
    <w:rsid w:val="0337738D"/>
    <w:rsid w:val="04916F1E"/>
    <w:rsid w:val="05353DA0"/>
    <w:rsid w:val="061E35DE"/>
    <w:rsid w:val="066E0107"/>
    <w:rsid w:val="06BE2ACC"/>
    <w:rsid w:val="07996F6E"/>
    <w:rsid w:val="07DFD8BA"/>
    <w:rsid w:val="08E500DB"/>
    <w:rsid w:val="09294886"/>
    <w:rsid w:val="09635565"/>
    <w:rsid w:val="09867E8F"/>
    <w:rsid w:val="0A2032A3"/>
    <w:rsid w:val="0A717628"/>
    <w:rsid w:val="0BBA348A"/>
    <w:rsid w:val="0CA8290A"/>
    <w:rsid w:val="0CEF4B48"/>
    <w:rsid w:val="0D35B1ED"/>
    <w:rsid w:val="0E254B6B"/>
    <w:rsid w:val="0F98263C"/>
    <w:rsid w:val="10086339"/>
    <w:rsid w:val="101860EC"/>
    <w:rsid w:val="101F47CC"/>
    <w:rsid w:val="10AB2612"/>
    <w:rsid w:val="10C055FF"/>
    <w:rsid w:val="10F0260D"/>
    <w:rsid w:val="10F84CA6"/>
    <w:rsid w:val="113B273E"/>
    <w:rsid w:val="11421D1E"/>
    <w:rsid w:val="11694EBD"/>
    <w:rsid w:val="11772AA4"/>
    <w:rsid w:val="118107EC"/>
    <w:rsid w:val="126E3A6B"/>
    <w:rsid w:val="12E12E71"/>
    <w:rsid w:val="12E24EE2"/>
    <w:rsid w:val="12EA79AF"/>
    <w:rsid w:val="12F52E60"/>
    <w:rsid w:val="13041331"/>
    <w:rsid w:val="13824C83"/>
    <w:rsid w:val="13D50BC4"/>
    <w:rsid w:val="14B17F78"/>
    <w:rsid w:val="15510782"/>
    <w:rsid w:val="156965FF"/>
    <w:rsid w:val="165E0673"/>
    <w:rsid w:val="168F3420"/>
    <w:rsid w:val="169A1CB5"/>
    <w:rsid w:val="16B831D5"/>
    <w:rsid w:val="16BB723D"/>
    <w:rsid w:val="17E50567"/>
    <w:rsid w:val="18622F00"/>
    <w:rsid w:val="186504BB"/>
    <w:rsid w:val="19A445FC"/>
    <w:rsid w:val="1A866FEF"/>
    <w:rsid w:val="1B4C593F"/>
    <w:rsid w:val="1BE8440E"/>
    <w:rsid w:val="1D155CEE"/>
    <w:rsid w:val="1D1638FE"/>
    <w:rsid w:val="1E312DEB"/>
    <w:rsid w:val="1E740ACF"/>
    <w:rsid w:val="1F705CAA"/>
    <w:rsid w:val="1FF35744"/>
    <w:rsid w:val="1FF6BC77"/>
    <w:rsid w:val="20866ED0"/>
    <w:rsid w:val="21515666"/>
    <w:rsid w:val="2186353C"/>
    <w:rsid w:val="22FF181D"/>
    <w:rsid w:val="23860B96"/>
    <w:rsid w:val="240371BF"/>
    <w:rsid w:val="244F3473"/>
    <w:rsid w:val="246E3AC2"/>
    <w:rsid w:val="24C97D99"/>
    <w:rsid w:val="25A718F0"/>
    <w:rsid w:val="25BB59F6"/>
    <w:rsid w:val="260F557C"/>
    <w:rsid w:val="264473EE"/>
    <w:rsid w:val="26732897"/>
    <w:rsid w:val="26970054"/>
    <w:rsid w:val="26B506EC"/>
    <w:rsid w:val="27CB7F20"/>
    <w:rsid w:val="27FE2FDF"/>
    <w:rsid w:val="281408E2"/>
    <w:rsid w:val="281806F1"/>
    <w:rsid w:val="281B4440"/>
    <w:rsid w:val="29634188"/>
    <w:rsid w:val="29FD04D3"/>
    <w:rsid w:val="2A837488"/>
    <w:rsid w:val="2ACF5F58"/>
    <w:rsid w:val="2B8925CC"/>
    <w:rsid w:val="2BFF7BC6"/>
    <w:rsid w:val="2C8A61B5"/>
    <w:rsid w:val="2D4328D7"/>
    <w:rsid w:val="2DF04E50"/>
    <w:rsid w:val="2DF83A39"/>
    <w:rsid w:val="2DFA155F"/>
    <w:rsid w:val="2E0028ED"/>
    <w:rsid w:val="2E586DFA"/>
    <w:rsid w:val="2EAA3DF1"/>
    <w:rsid w:val="2F040D46"/>
    <w:rsid w:val="2F6B035B"/>
    <w:rsid w:val="2F974C59"/>
    <w:rsid w:val="2FAE5751"/>
    <w:rsid w:val="2FB1A395"/>
    <w:rsid w:val="2FB614B6"/>
    <w:rsid w:val="2FD9A7D8"/>
    <w:rsid w:val="2FDBF714"/>
    <w:rsid w:val="303D5733"/>
    <w:rsid w:val="30AB6865"/>
    <w:rsid w:val="319F21BA"/>
    <w:rsid w:val="319F7F4E"/>
    <w:rsid w:val="323F6356"/>
    <w:rsid w:val="328258BC"/>
    <w:rsid w:val="32BD1EF1"/>
    <w:rsid w:val="3304709D"/>
    <w:rsid w:val="33A773CB"/>
    <w:rsid w:val="349D6851"/>
    <w:rsid w:val="352E37B4"/>
    <w:rsid w:val="35560F57"/>
    <w:rsid w:val="35CE5984"/>
    <w:rsid w:val="36AA5135"/>
    <w:rsid w:val="36AB4931"/>
    <w:rsid w:val="36BE0DA7"/>
    <w:rsid w:val="36CB384E"/>
    <w:rsid w:val="376B6AA6"/>
    <w:rsid w:val="376D39B2"/>
    <w:rsid w:val="37DE6A62"/>
    <w:rsid w:val="37E16F03"/>
    <w:rsid w:val="37F53A3B"/>
    <w:rsid w:val="38241352"/>
    <w:rsid w:val="389B6C89"/>
    <w:rsid w:val="38B20BCF"/>
    <w:rsid w:val="38D469F0"/>
    <w:rsid w:val="39627CCD"/>
    <w:rsid w:val="397BAF1F"/>
    <w:rsid w:val="39A91C53"/>
    <w:rsid w:val="39F96B6F"/>
    <w:rsid w:val="3AB79AF3"/>
    <w:rsid w:val="3AC30F2B"/>
    <w:rsid w:val="3AE834C0"/>
    <w:rsid w:val="3B5322AF"/>
    <w:rsid w:val="3B720C16"/>
    <w:rsid w:val="3B7EF35A"/>
    <w:rsid w:val="3B9FDB6C"/>
    <w:rsid w:val="3BF5BC2F"/>
    <w:rsid w:val="3C215B8B"/>
    <w:rsid w:val="3CEBA265"/>
    <w:rsid w:val="3D98207C"/>
    <w:rsid w:val="3DEE7CF3"/>
    <w:rsid w:val="3E740A63"/>
    <w:rsid w:val="3E78745D"/>
    <w:rsid w:val="3E8946EE"/>
    <w:rsid w:val="3EE17838"/>
    <w:rsid w:val="3F55381A"/>
    <w:rsid w:val="3F7F7599"/>
    <w:rsid w:val="3FAB2002"/>
    <w:rsid w:val="3FF4CAE0"/>
    <w:rsid w:val="3FF7B227"/>
    <w:rsid w:val="40130A24"/>
    <w:rsid w:val="40727D40"/>
    <w:rsid w:val="409969B6"/>
    <w:rsid w:val="41E61DDA"/>
    <w:rsid w:val="4268449D"/>
    <w:rsid w:val="42D44852"/>
    <w:rsid w:val="44E268DA"/>
    <w:rsid w:val="44F33213"/>
    <w:rsid w:val="450D13D7"/>
    <w:rsid w:val="45506656"/>
    <w:rsid w:val="459C6CDB"/>
    <w:rsid w:val="463C2692"/>
    <w:rsid w:val="46F24544"/>
    <w:rsid w:val="482215D6"/>
    <w:rsid w:val="486A6C7A"/>
    <w:rsid w:val="49F904C5"/>
    <w:rsid w:val="4A627F82"/>
    <w:rsid w:val="4B0E749A"/>
    <w:rsid w:val="4B2477C4"/>
    <w:rsid w:val="4B4F25DA"/>
    <w:rsid w:val="4BB23021"/>
    <w:rsid w:val="4BC84723"/>
    <w:rsid w:val="4BE068DB"/>
    <w:rsid w:val="4C341C88"/>
    <w:rsid w:val="4C5D000A"/>
    <w:rsid w:val="4D577224"/>
    <w:rsid w:val="4DBF1CEB"/>
    <w:rsid w:val="4DF0007C"/>
    <w:rsid w:val="4E296E9F"/>
    <w:rsid w:val="4E7B3BF3"/>
    <w:rsid w:val="4EAB630A"/>
    <w:rsid w:val="4ECE2238"/>
    <w:rsid w:val="4F833267"/>
    <w:rsid w:val="4F93316A"/>
    <w:rsid w:val="4FE9BD67"/>
    <w:rsid w:val="4FFB052F"/>
    <w:rsid w:val="51545631"/>
    <w:rsid w:val="51DD5A0B"/>
    <w:rsid w:val="52173BDE"/>
    <w:rsid w:val="526B5CD8"/>
    <w:rsid w:val="532C190B"/>
    <w:rsid w:val="536239D8"/>
    <w:rsid w:val="537E6D0A"/>
    <w:rsid w:val="53F74C96"/>
    <w:rsid w:val="55170BA8"/>
    <w:rsid w:val="553218C9"/>
    <w:rsid w:val="55D42901"/>
    <w:rsid w:val="56156687"/>
    <w:rsid w:val="561F43C7"/>
    <w:rsid w:val="567E1AA5"/>
    <w:rsid w:val="56E47B74"/>
    <w:rsid w:val="57175D52"/>
    <w:rsid w:val="57BD3DD4"/>
    <w:rsid w:val="5818245E"/>
    <w:rsid w:val="58F2563E"/>
    <w:rsid w:val="598D0C2A"/>
    <w:rsid w:val="5AF92295"/>
    <w:rsid w:val="5B250254"/>
    <w:rsid w:val="5B920779"/>
    <w:rsid w:val="5BDD79E6"/>
    <w:rsid w:val="5BF561CA"/>
    <w:rsid w:val="5BFB1E7B"/>
    <w:rsid w:val="5BFF5DFC"/>
    <w:rsid w:val="5C216BFF"/>
    <w:rsid w:val="5C6E334D"/>
    <w:rsid w:val="5C872D95"/>
    <w:rsid w:val="5CD71FC4"/>
    <w:rsid w:val="5D1F11B5"/>
    <w:rsid w:val="5D695134"/>
    <w:rsid w:val="5D8F4F70"/>
    <w:rsid w:val="5DAE1B18"/>
    <w:rsid w:val="5DE7D9E5"/>
    <w:rsid w:val="5EB82262"/>
    <w:rsid w:val="5ECEC941"/>
    <w:rsid w:val="5F0C50F0"/>
    <w:rsid w:val="5F3D7438"/>
    <w:rsid w:val="5FBF9FF3"/>
    <w:rsid w:val="5FC151E4"/>
    <w:rsid w:val="5FCD4E2C"/>
    <w:rsid w:val="5FEF394A"/>
    <w:rsid w:val="5FF67715"/>
    <w:rsid w:val="60AE30F2"/>
    <w:rsid w:val="624C4EB5"/>
    <w:rsid w:val="62BF3928"/>
    <w:rsid w:val="630E2FB9"/>
    <w:rsid w:val="637864A7"/>
    <w:rsid w:val="63A34BA5"/>
    <w:rsid w:val="63B3701E"/>
    <w:rsid w:val="647F5392"/>
    <w:rsid w:val="64F4160B"/>
    <w:rsid w:val="653B778C"/>
    <w:rsid w:val="65E66580"/>
    <w:rsid w:val="664B1D71"/>
    <w:rsid w:val="664B4E8E"/>
    <w:rsid w:val="67277B67"/>
    <w:rsid w:val="67AA3209"/>
    <w:rsid w:val="688F4D44"/>
    <w:rsid w:val="698D0931"/>
    <w:rsid w:val="6A7F636D"/>
    <w:rsid w:val="6A7FE5F3"/>
    <w:rsid w:val="6A941E18"/>
    <w:rsid w:val="6B053271"/>
    <w:rsid w:val="6B090119"/>
    <w:rsid w:val="6B194EF6"/>
    <w:rsid w:val="6BA77929"/>
    <w:rsid w:val="6BDD78B3"/>
    <w:rsid w:val="6C4A05C8"/>
    <w:rsid w:val="6C727F37"/>
    <w:rsid w:val="6C8742B8"/>
    <w:rsid w:val="6CA05869"/>
    <w:rsid w:val="6DBF5E93"/>
    <w:rsid w:val="6DFF077E"/>
    <w:rsid w:val="6E714EF0"/>
    <w:rsid w:val="6E7E3605"/>
    <w:rsid w:val="6E7FDCC7"/>
    <w:rsid w:val="6ED6A62E"/>
    <w:rsid w:val="6EE00B15"/>
    <w:rsid w:val="6EE97FE6"/>
    <w:rsid w:val="6F6FB3EB"/>
    <w:rsid w:val="6F8731EA"/>
    <w:rsid w:val="6FB50862"/>
    <w:rsid w:val="6FCE6052"/>
    <w:rsid w:val="6FD57C00"/>
    <w:rsid w:val="6FEFFFD8"/>
    <w:rsid w:val="6FF134EB"/>
    <w:rsid w:val="6FF5CC65"/>
    <w:rsid w:val="6FFB47EC"/>
    <w:rsid w:val="6FFF034A"/>
    <w:rsid w:val="70484440"/>
    <w:rsid w:val="712A28F1"/>
    <w:rsid w:val="715C0E4B"/>
    <w:rsid w:val="71992E7C"/>
    <w:rsid w:val="72233669"/>
    <w:rsid w:val="722F68B9"/>
    <w:rsid w:val="72734D90"/>
    <w:rsid w:val="72895D82"/>
    <w:rsid w:val="73160E6D"/>
    <w:rsid w:val="731B1323"/>
    <w:rsid w:val="7332FE48"/>
    <w:rsid w:val="73AB61DA"/>
    <w:rsid w:val="73AD73D5"/>
    <w:rsid w:val="73B6EB34"/>
    <w:rsid w:val="73FA497D"/>
    <w:rsid w:val="744731E5"/>
    <w:rsid w:val="74BBD01D"/>
    <w:rsid w:val="74D304DE"/>
    <w:rsid w:val="74ED5379"/>
    <w:rsid w:val="756932A9"/>
    <w:rsid w:val="75AA0C39"/>
    <w:rsid w:val="75BA46FD"/>
    <w:rsid w:val="75DEEEC2"/>
    <w:rsid w:val="75E32345"/>
    <w:rsid w:val="766052A4"/>
    <w:rsid w:val="76A41B15"/>
    <w:rsid w:val="76E3355F"/>
    <w:rsid w:val="76FF5125"/>
    <w:rsid w:val="77575322"/>
    <w:rsid w:val="776F6FFA"/>
    <w:rsid w:val="778769C8"/>
    <w:rsid w:val="77A75DCA"/>
    <w:rsid w:val="77DC22F5"/>
    <w:rsid w:val="77FD3D5C"/>
    <w:rsid w:val="78133DBB"/>
    <w:rsid w:val="783E271A"/>
    <w:rsid w:val="7850571A"/>
    <w:rsid w:val="78616DE9"/>
    <w:rsid w:val="78AA797A"/>
    <w:rsid w:val="78D527E1"/>
    <w:rsid w:val="78E875D7"/>
    <w:rsid w:val="79086DAD"/>
    <w:rsid w:val="79B853F7"/>
    <w:rsid w:val="79D7FD79"/>
    <w:rsid w:val="79EE5BA4"/>
    <w:rsid w:val="7A175207"/>
    <w:rsid w:val="7A75410C"/>
    <w:rsid w:val="7A894339"/>
    <w:rsid w:val="7AD284E8"/>
    <w:rsid w:val="7AFF7572"/>
    <w:rsid w:val="7B6C7DFB"/>
    <w:rsid w:val="7BBFBED0"/>
    <w:rsid w:val="7BC3E394"/>
    <w:rsid w:val="7C1F3737"/>
    <w:rsid w:val="7C676999"/>
    <w:rsid w:val="7CBFC87B"/>
    <w:rsid w:val="7CFE0F48"/>
    <w:rsid w:val="7D272ABC"/>
    <w:rsid w:val="7D7EC23E"/>
    <w:rsid w:val="7E8ADEBF"/>
    <w:rsid w:val="7E937696"/>
    <w:rsid w:val="7EEF11D3"/>
    <w:rsid w:val="7EFE4840"/>
    <w:rsid w:val="7F0971A6"/>
    <w:rsid w:val="7F1D62E7"/>
    <w:rsid w:val="7F3027E0"/>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9">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8"/>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qFormat/>
    <w:uiPriority w:val="0"/>
    <w:rPr>
      <w:rFonts w:ascii="宋体" w:hAnsi="Courier New" w:eastAsia="宋体"/>
      <w:sz w:val="21"/>
    </w:rPr>
  </w:style>
  <w:style w:type="paragraph" w:styleId="10">
    <w:name w:val="Balloon Text"/>
    <w:basedOn w:val="1"/>
    <w:link w:val="34"/>
    <w:semiHidden/>
    <w:unhideWhenUsed/>
    <w:qFormat/>
    <w:uiPriority w:val="99"/>
    <w:rPr>
      <w:sz w:val="18"/>
      <w:szCs w:val="18"/>
    </w:rPr>
  </w:style>
  <w:style w:type="paragraph" w:styleId="11">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7"/>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20">
    <w:name w:val="Strong"/>
    <w:basedOn w:val="19"/>
    <w:qFormat/>
    <w:uiPriority w:val="99"/>
    <w:rPr>
      <w:b/>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paragraph" w:customStyle="1" w:styleId="22">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3">
    <w:name w:val="Header Char"/>
    <w:basedOn w:val="19"/>
    <w:semiHidden/>
    <w:qFormat/>
    <w:uiPriority w:val="99"/>
    <w:rPr>
      <w:rFonts w:ascii="Times New Roman" w:hAnsi="Times New Roman"/>
      <w:sz w:val="18"/>
      <w:szCs w:val="18"/>
    </w:rPr>
  </w:style>
  <w:style w:type="character" w:customStyle="1" w:styleId="24">
    <w:name w:val="页眉 Char"/>
    <w:link w:val="12"/>
    <w:semiHidden/>
    <w:qFormat/>
    <w:locked/>
    <w:uiPriority w:val="99"/>
    <w:rPr>
      <w:sz w:val="18"/>
    </w:rPr>
  </w:style>
  <w:style w:type="character" w:customStyle="1" w:styleId="25">
    <w:name w:val="Footer Char"/>
    <w:basedOn w:val="19"/>
    <w:semiHidden/>
    <w:qFormat/>
    <w:uiPriority w:val="99"/>
    <w:rPr>
      <w:rFonts w:ascii="Times New Roman" w:hAnsi="Times New Roman"/>
      <w:sz w:val="18"/>
      <w:szCs w:val="18"/>
    </w:rPr>
  </w:style>
  <w:style w:type="character" w:customStyle="1" w:styleId="26">
    <w:name w:val="页脚 Char"/>
    <w:link w:val="11"/>
    <w:qFormat/>
    <w:locked/>
    <w:uiPriority w:val="99"/>
    <w:rPr>
      <w:sz w:val="18"/>
    </w:rPr>
  </w:style>
  <w:style w:type="character" w:customStyle="1" w:styleId="27">
    <w:name w:val="Body Text Char"/>
    <w:basedOn w:val="19"/>
    <w:semiHidden/>
    <w:qFormat/>
    <w:uiPriority w:val="99"/>
    <w:rPr>
      <w:rFonts w:ascii="Times New Roman" w:hAnsi="Times New Roman"/>
      <w:szCs w:val="24"/>
    </w:rPr>
  </w:style>
  <w:style w:type="character" w:customStyle="1" w:styleId="28">
    <w:name w:val="正文文本 Char"/>
    <w:link w:val="5"/>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34"/>
    <w:pPr>
      <w:ind w:firstLine="420" w:firstLineChars="200"/>
    </w:pPr>
  </w:style>
  <w:style w:type="character" w:customStyle="1" w:styleId="31">
    <w:name w:val="标题 1 Char"/>
    <w:basedOn w:val="19"/>
    <w:link w:val="2"/>
    <w:qFormat/>
    <w:uiPriority w:val="9"/>
    <w:rPr>
      <w:rFonts w:ascii="Times New Roman" w:hAnsi="Times New Roman"/>
      <w:b/>
      <w:bCs/>
      <w:kern w:val="44"/>
      <w:sz w:val="44"/>
      <w:szCs w:val="44"/>
    </w:rPr>
  </w:style>
  <w:style w:type="character" w:customStyle="1" w:styleId="32">
    <w:name w:val="标题 2 Char"/>
    <w:basedOn w:val="19"/>
    <w:link w:val="3"/>
    <w:qFormat/>
    <w:uiPriority w:val="9"/>
    <w:rPr>
      <w:rFonts w:asciiTheme="majorHAnsi" w:hAnsiTheme="majorHAnsi" w:eastAsiaTheme="majorEastAsia" w:cstheme="majorBidi"/>
      <w:b/>
      <w:bCs/>
      <w:kern w:val="2"/>
      <w:sz w:val="32"/>
      <w:szCs w:val="32"/>
    </w:rPr>
  </w:style>
  <w:style w:type="paragraph" w:customStyle="1" w:styleId="3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9"/>
    <w:link w:val="10"/>
    <w:semiHidden/>
    <w:qFormat/>
    <w:uiPriority w:val="99"/>
    <w:rPr>
      <w:rFonts w:ascii="Times New Roman" w:hAnsi="Times New Roman"/>
      <w:kern w:val="2"/>
      <w:sz w:val="18"/>
      <w:szCs w:val="18"/>
    </w:rPr>
  </w:style>
  <w:style w:type="character" w:customStyle="1" w:styleId="35">
    <w:name w:val="标题 3 Char"/>
    <w:basedOn w:val="19"/>
    <w:link w:val="4"/>
    <w:qFormat/>
    <w:uiPriority w:val="9"/>
    <w:rPr>
      <w:rFonts w:ascii="Times New Roman" w:hAnsi="Times New Roman"/>
      <w:b/>
      <w:bCs/>
      <w:kern w:val="2"/>
      <w:sz w:val="32"/>
      <w:szCs w:val="32"/>
    </w:rPr>
  </w:style>
  <w:style w:type="paragraph" w:customStyle="1" w:styleId="3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qFormat/>
    <w:uiPriority w:val="0"/>
    <w:pPr>
      <w:spacing w:line="360" w:lineRule="auto"/>
    </w:pPr>
    <w:rPr>
      <w:rFonts w:ascii="??" w:hAnsi="??" w:eastAsia="宋体"/>
      <w:color w:val="000000"/>
      <w:kern w:val="0"/>
      <w:sz w:val="28"/>
      <w:szCs w:val="21"/>
      <w:lang w:val="zh-CN" w:eastAsia="zh-CN"/>
    </w:rPr>
  </w:style>
  <w:style w:type="paragraph" w:customStyle="1" w:styleId="38">
    <w:name w:val="普通(网站) Char"/>
    <w:basedOn w:val="1"/>
    <w:qFormat/>
    <w:uiPriority w:val="0"/>
    <w:pPr>
      <w:spacing w:beforeAutospacing="1" w:afterAutospacing="1"/>
    </w:p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4.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5.xml.rels><?xml version="1.0" encoding="UTF-8" standalone="yes"?>
<Relationships xmlns="http://schemas.openxmlformats.org/package/2006/relationships"><Relationship Id="rId5" Type="http://schemas.microsoft.com/office/2011/relationships/chartColorStyle" Target="colors4.xml"/><Relationship Id="rId4" Type="http://schemas.microsoft.com/office/2011/relationships/chartStyle" Target="style4.xml"/><Relationship Id="rId3" Type="http://schemas.openxmlformats.org/officeDocument/2006/relationships/image" Target="../media/image1.png"/><Relationship Id="rId2" Type="http://schemas.openxmlformats.org/officeDocument/2006/relationships/themeOverride" Target="../theme/themeOverride5.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6.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_rels/chart7.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7.xml"/><Relationship Id="rId1" Type="http://schemas.openxmlformats.org/officeDocument/2006/relationships/oleObject" Target="file:///C:\Users\admin\Desktop\2024&#24180;&#20915;&#31639;&#20844;&#24320;\503001-&#25856;&#26525;&#33457;&#24066;&#31038;&#20250;&#20445;&#38505;&#20107;&#21153;&#20013;&#24515;-&#38468;&#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收入、支出决算总计变动情况图</a:t>
            </a:r>
          </a:p>
        </c:rich>
      </c:tx>
      <c:layout/>
      <c:overlay val="0"/>
      <c:spPr>
        <a:noFill/>
        <a:ln>
          <a:noFill/>
        </a:ln>
        <a:effectLst/>
      </c:spPr>
    </c:title>
    <c:autoTitleDeleted val="0"/>
    <c:plotArea>
      <c:layout/>
      <c:barChart>
        <c:barDir val="col"/>
        <c:grouping val="clustered"/>
        <c:varyColors val="0"/>
        <c:ser>
          <c:idx val="0"/>
          <c:order val="0"/>
          <c:spPr>
            <a:solidFill>
              <a:schemeClr val="accent1">
                <a:hueOff val="0"/>
                <a:alpha val="70000"/>
              </a:schemeClr>
            </a:solidFill>
            <a:ln>
              <a:noFill/>
            </a:ln>
            <a:effectLst/>
          </c:spPr>
          <c:invertIfNegative val="0"/>
          <c:dPt>
            <c:idx val="0"/>
            <c:invertIfNegative val="0"/>
            <c:bubble3D val="0"/>
            <c:spPr>
              <a:gradFill>
                <a:gsLst>
                  <a:gs pos="51300">
                    <a:srgbClr val="4888CF"/>
                  </a:gs>
                  <a:gs pos="0">
                    <a:srgbClr val="95D2FF"/>
                  </a:gs>
                  <a:gs pos="95000">
                    <a:srgbClr val="3965A3"/>
                  </a:gs>
                </a:gsLst>
                <a:lin ang="5400000" scaled="1"/>
              </a:gradFill>
              <a:ln>
                <a:noFill/>
              </a:ln>
              <a:effectLst/>
            </c:spPr>
          </c:dPt>
          <c:dPt>
            <c:idx val="1"/>
            <c:invertIfNegative val="0"/>
            <c:bubble3D val="0"/>
            <c:spPr>
              <a:gradFill>
                <a:gsLst>
                  <a:gs pos="51300">
                    <a:srgbClr val="4888CF"/>
                  </a:gs>
                  <a:gs pos="0">
                    <a:srgbClr val="95D2FF"/>
                  </a:gs>
                  <a:gs pos="95000">
                    <a:srgbClr val="3965A3"/>
                  </a:gs>
                </a:gsLst>
                <a:lin ang="5400000" scaled="1"/>
              </a:gradFill>
              <a:ln>
                <a:noFill/>
              </a:ln>
              <a:effectLst/>
            </c:spPr>
          </c:dPt>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rgbClr val="FFFFFF"/>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'[503001-攀枝花市社会保险事务中心-附表.xls]Sheet1'!$A$2:$A$3</c:f>
              <c:strCache>
                <c:ptCount val="2"/>
                <c:pt idx="0">
                  <c:v>2023年</c:v>
                </c:pt>
                <c:pt idx="1">
                  <c:v>2024年</c:v>
                </c:pt>
              </c:strCache>
            </c:strRef>
          </c:cat>
          <c:val>
            <c:numRef>
              <c:f>'[503001-攀枝花市社会保险事务中心-附表.xls]Sheet1'!$B$2:$B$3</c:f>
              <c:numCache>
                <c:formatCode>General</c:formatCode>
                <c:ptCount val="2"/>
                <c:pt idx="0">
                  <c:v>1555.91</c:v>
                </c:pt>
                <c:pt idx="1">
                  <c:v>1482.05</c:v>
                </c:pt>
              </c:numCache>
            </c:numRef>
          </c:val>
        </c:ser>
        <c:dLbls>
          <c:showLegendKey val="0"/>
          <c:showVal val="1"/>
          <c:showCatName val="0"/>
          <c:showSerName val="0"/>
          <c:showPercent val="0"/>
          <c:showBubbleSize val="0"/>
        </c:dLbls>
        <c:gapWidth val="75"/>
        <c:overlap val="40"/>
        <c:axId val="739046542"/>
        <c:axId val="260013266"/>
      </c:barChart>
      <c:catAx>
        <c:axId val="739046542"/>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260013266"/>
        <c:crosses val="autoZero"/>
        <c:auto val="1"/>
        <c:lblAlgn val="ctr"/>
        <c:lblOffset val="100"/>
        <c:noMultiLvlLbl val="0"/>
      </c:catAx>
      <c:valAx>
        <c:axId val="260013266"/>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39046542"/>
        <c:crosses val="autoZero"/>
        <c:crossBetween val="between"/>
      </c:valAx>
      <c:spPr>
        <a:noFill/>
        <a:ln>
          <a:noFill/>
        </a:ln>
        <a:effectLst/>
      </c:spPr>
    </c:plotArea>
    <c:plotVisOnly val="1"/>
    <c:dispBlanksAs val="gap"/>
    <c:showDLblsOverMax val="0"/>
    <c:extLst>
      <c:ext uri="{0b15fc19-7d7d-44ad-8c2d-2c3a37ce22c3}">
        <chartProps xmlns="https://web.wps.cn/et/2018/main" chartId="{e69ae14e-23a4-46f9-979b-2484c7a633af}"/>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收入决算结构图</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ln w="22225">
              <a:solidFill>
                <a:schemeClr val="bg1"/>
              </a:solidFill>
            </a:ln>
            <a:scene3d>
              <a:camera prst="orthographicFront"/>
              <a:lightRig rig="threePt" dir="t"/>
            </a:scene3d>
            <a:sp3d contourW="22225"/>
          </c:spPr>
          <c:explosion val="0"/>
          <c:dPt>
            <c:idx val="0"/>
            <c:bubble3D val="0"/>
            <c:spPr>
              <a:gradFill>
                <a:gsLst>
                  <a:gs pos="100000">
                    <a:schemeClr val="accent1"/>
                  </a:gs>
                  <a:gs pos="0">
                    <a:schemeClr val="accent1">
                      <a:hueOff val="-1670000"/>
                    </a:schemeClr>
                  </a:gs>
                </a:gsLst>
                <a:lin ang="5400000" scaled="0"/>
              </a:gradFill>
              <a:ln w="22225">
                <a:solidFill>
                  <a:schemeClr val="bg1"/>
                </a:solidFill>
              </a:ln>
              <a:effectLst/>
              <a:scene3d>
                <a:camera prst="orthographicFront"/>
                <a:lightRig rig="threePt" dir="t"/>
              </a:scene3d>
              <a:sp3d contourW="22225"/>
            </c:spPr>
          </c:dPt>
          <c:dPt>
            <c:idx val="1"/>
            <c:bubble3D val="0"/>
            <c:spPr>
              <a:gradFill>
                <a:gsLst>
                  <a:gs pos="50000">
                    <a:schemeClr val="accent2"/>
                  </a:gs>
                  <a:gs pos="0">
                    <a:schemeClr val="accent2">
                      <a:lumMod val="25000"/>
                      <a:lumOff val="75000"/>
                    </a:schemeClr>
                  </a:gs>
                  <a:gs pos="100000">
                    <a:schemeClr val="accent2">
                      <a:lumMod val="85000"/>
                    </a:schemeClr>
                  </a:gs>
                </a:gsLst>
                <a:lin ang="5400000" scaled="1"/>
              </a:gradFill>
              <a:ln w="22225">
                <a:solidFill>
                  <a:schemeClr val="bg1"/>
                </a:solidFill>
              </a:ln>
              <a:effectLst/>
              <a:scene3d>
                <a:camera prst="orthographicFront"/>
                <a:lightRig rig="threePt" dir="t"/>
              </a:scene3d>
              <a:sp3d contourW="22225"/>
            </c:spPr>
          </c:dPt>
          <c:dLbls>
            <c:dLbl>
              <c:idx val="0"/>
              <c:layout/>
              <c:dLblPos val="inEnd"/>
              <c:showLegendKey val="0"/>
              <c:showVal val="0"/>
              <c:showCatName val="0"/>
              <c:showSerName val="0"/>
              <c:showPercent val="1"/>
              <c:showBubbleSize val="0"/>
              <c:extLst>
                <c:ext xmlns:c15="http://schemas.microsoft.com/office/drawing/2012/chart" uri="{CE6537A1-D6FC-4f65-9D91-7224C49458BB}"/>
              </c:extLst>
            </c:dLbl>
            <c:dLbl>
              <c:idx val="1"/>
              <c:layout>
                <c:manualLayout>
                  <c:x val="0.0414611364400294"/>
                  <c:y val="0.0152605832919989"/>
                </c:manualLayout>
              </c:layout>
              <c:tx>
                <c:rich>
                  <a:bodyPr rot="0" spcFirstLastPara="0" vertOverflow="ellipsis" vert="horz" wrap="square" lIns="38100" tIns="19050" rIns="38100" bIns="19050" anchor="ctr" anchorCtr="1" forceAA="0"/>
                  <a:lstStyle/>
                  <a:p>
                    <a:pPr defTabSz="914400">
                      <a:defRPr lang="zh-CN" sz="10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0%</a:t>
                    </a:r>
                    <a:endParaRPr>
                      <a:solidFill>
                        <a:sysClr val="windowText" lastClr="000000"/>
                      </a:solidFill>
                    </a:endParaRPr>
                  </a:p>
                </c:rich>
              </c:tx>
              <c:dLblPos val="bestFit"/>
              <c:showLegendKey val="0"/>
              <c:showVal val="0"/>
              <c:showCatName val="0"/>
              <c:showSerName val="0"/>
              <c:showPercent val="1"/>
              <c:showBubbleSize val="0"/>
              <c:separator>
</c:separator>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spPr>
                    <a:ln w="9525">
                      <a:solidFill>
                        <a:schemeClr val="dk1">
                          <a:lumMod val="35000"/>
                          <a:lumOff val="65000"/>
                        </a:schemeClr>
                      </a:solidFill>
                    </a:ln>
                    <a:effectLst/>
                  </c:spPr>
                </c15:leaderLines>
              </c:ext>
            </c:extLst>
          </c:dLbls>
          <c:cat>
            <c:strRef>
              <c:f>'[503001-攀枝花市社会保险事务中心-附表.xls]Sheet1'!$A$5:$A$6</c:f>
              <c:strCache>
                <c:ptCount val="2"/>
                <c:pt idx="0">
                  <c:v>一般公共预算财政拨款收入</c:v>
                </c:pt>
                <c:pt idx="1">
                  <c:v>其他收入</c:v>
                </c:pt>
              </c:strCache>
            </c:strRef>
          </c:cat>
          <c:val>
            <c:numRef>
              <c:f>'[503001-攀枝花市社会保险事务中心-附表.xls]Sheet1'!$B$5:$B$6</c:f>
              <c:numCache>
                <c:formatCode>General</c:formatCode>
                <c:ptCount val="2"/>
                <c:pt idx="0">
                  <c:v>1555.86</c:v>
                </c:pt>
                <c:pt idx="1">
                  <c:v>0.05</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41753835-96e6-4f4f-a21a-c6985e26b301}"/>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cap="all"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支出决算结构图</a:t>
            </a:r>
          </a:p>
        </c:rich>
      </c:tx>
      <c:layout/>
      <c:overlay val="0"/>
      <c:spPr>
        <a:noFill/>
        <a:ln>
          <a:noFill/>
        </a:ln>
        <a:effectLst/>
      </c:spPr>
    </c:title>
    <c:autoTitleDeleted val="0"/>
    <c:view3D>
      <c:rotX val="30"/>
      <c:rotY val="0"/>
      <c:depthPercent val="100"/>
      <c:rAngAx val="0"/>
    </c:view3D>
    <c:floor>
      <c:thickness val="0"/>
    </c:floor>
    <c:sideWall>
      <c:thickness val="0"/>
    </c:sideWall>
    <c:backWall>
      <c:thickness val="0"/>
    </c:backWall>
    <c:plotArea>
      <c:layout/>
      <c:pie3DChart>
        <c:varyColors val="1"/>
        <c:ser>
          <c:idx val="0"/>
          <c:order val="0"/>
          <c:spPr>
            <a:solidFill>
              <a:schemeClr val="accent1">
                <a:alpha val="90000"/>
              </a:schemeClr>
            </a:solidFill>
            <a:ln w="19050">
              <a:solidFill>
                <a:schemeClr val="accent1">
                  <a:lumMod val="75000"/>
                </a:schemeClr>
              </a:solidFill>
            </a:ln>
            <a:scene3d>
              <a:camera prst="orthographicFront"/>
              <a:lightRig rig="threePt" dir="t"/>
            </a:scene3d>
            <a:sp3d contourW="19050"/>
          </c:spPr>
          <c:explosion val="0"/>
          <c:dPt>
            <c:idx val="0"/>
            <c:bubble3D val="0"/>
            <c:spPr>
              <a:solidFill>
                <a:schemeClr val="accent1">
                  <a:alpha val="90000"/>
                </a:schemeClr>
              </a:solidFill>
              <a:ln w="19050">
                <a:solidFill>
                  <a:schemeClr val="accent1">
                    <a:lumMod val="75000"/>
                  </a:schemeClr>
                </a:solidFill>
              </a:ln>
              <a:effectLst>
                <a:innerShdw blurRad="114300">
                  <a:schemeClr val="accent1">
                    <a:lumMod val="75000"/>
                  </a:schemeClr>
                </a:innerShdw>
              </a:effectLst>
              <a:scene3d>
                <a:camera prst="orthographicFront"/>
                <a:lightRig rig="threePt" dir="t"/>
              </a:scene3d>
              <a:sp3d contourW="19050"/>
            </c:spPr>
          </c:dPt>
          <c:dPt>
            <c:idx val="1"/>
            <c:bubble3D val="0"/>
            <c:spPr>
              <a:solidFill>
                <a:schemeClr val="accent2">
                  <a:alpha val="90000"/>
                </a:schemeClr>
              </a:solidFill>
              <a:ln w="19050">
                <a:solidFill>
                  <a:schemeClr val="accent2">
                    <a:lumMod val="75000"/>
                  </a:schemeClr>
                </a:solidFill>
              </a:ln>
              <a:effectLst>
                <a:innerShdw blurRad="114300">
                  <a:schemeClr val="accent2">
                    <a:lumMod val="75000"/>
                  </a:schemeClr>
                </a:innerShdw>
              </a:effectLst>
              <a:scene3d>
                <a:camera prst="orthographicFront"/>
                <a:lightRig rig="threePt" dir="t"/>
              </a:scene3d>
              <a:sp3d contourW="19050"/>
            </c:spPr>
          </c:dPt>
          <c:dLbls>
            <c:dLbl>
              <c:idx val="0"/>
              <c:layout/>
              <c:numFmt formatCode="General" sourceLinked="1"/>
              <c:spPr>
                <a:solidFill>
                  <a:schemeClr val="bg1"/>
                </a:solidFill>
                <a:ln>
                  <a:solidFill>
                    <a:schemeClr val="accent1"/>
                  </a:solidFill>
                </a:ln>
                <a:effectLst>
                  <a:outerShdw blurRad="50800" dist="25400" dir="2700000" algn="ctr" rotWithShape="0">
                    <a:srgbClr val="000000">
                      <a:alpha val="40000"/>
                    </a:srgbClr>
                  </a:outerShdw>
                </a:effectLst>
              </c:spPr>
              <c:txPr>
                <a:bodyPr rot="0" spcFirstLastPara="0" vertOverflow="ellipsis" vert="horz" wrap="square" lIns="38100" tIns="19050" rIns="38100" bIns="19050" anchor="ctr" anchorCtr="1" forceAA="0"/>
                <a:lstStyle/>
                <a:p>
                  <a:pPr>
                    <a:defRPr lang="zh-CN" sz="1000" b="1" i="0" u="none" strike="noStrike" kern="1200" baseline="0">
                      <a:solidFill>
                        <a:schemeClr val="accent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1"/>
              <c:layout/>
              <c:numFmt formatCode="General" sourceLinked="1"/>
              <c:spPr>
                <a:solidFill>
                  <a:schemeClr val="bg1"/>
                </a:solidFill>
                <a:ln>
                  <a:solidFill>
                    <a:schemeClr val="accent2"/>
                  </a:solidFill>
                </a:ln>
                <a:effectLst>
                  <a:outerShdw blurRad="50800" dist="25400" dir="2700000" algn="ctr" rotWithShape="0">
                    <a:srgbClr val="000000">
                      <a:alpha val="40000"/>
                    </a:srgbClr>
                  </a:outerShdw>
                </a:effectLst>
              </c:spPr>
              <c:txPr>
                <a:bodyPr rot="0" spcFirstLastPara="0" vertOverflow="ellipsis" vert="horz" wrap="square" lIns="38100" tIns="19050" rIns="38100" bIns="19050" anchor="ctr" anchorCtr="1" forceAA="0"/>
                <a:lstStyle/>
                <a:p>
                  <a:pPr>
                    <a:defRPr lang="zh-CN" sz="1000" b="1" i="0" u="none" strike="noStrike" kern="1200" baseline="0">
                      <a:solidFill>
                        <a:schemeClr val="accent2"/>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solidFill>
                <a:schemeClr val="bg1"/>
              </a:solidFill>
              <a:ln>
                <a:solidFill>
                  <a:schemeClr val="accent1">
                    <a:lumMod val="75000"/>
                  </a:schemeClr>
                </a:solidFill>
              </a:ln>
              <a:effectLst>
                <a:outerShdw blurRad="50800" dist="25400" dir="2700000" algn="ctr" rotWithShape="0">
                  <a:srgbClr val="000000">
                    <a:alpha val="40000"/>
                  </a:srgbClr>
                </a:outerShdw>
              </a:effectLst>
            </c:spPr>
            <c:txPr>
              <a:bodyPr rot="0" spcFirstLastPara="0" vertOverflow="ellipsis" vert="horz" wrap="square" lIns="38100" tIns="19050" rIns="38100" bIns="19050" anchor="ctr" anchorCtr="1" forceAA="0"/>
              <a:lstStyle/>
              <a:p>
                <a:pPr>
                  <a:defRPr lang="zh-CN" sz="1000" b="1" i="0" u="none" strike="noStrike" kern="1200" baseline="0">
                    <a:solidFill>
                      <a:schemeClr val="accent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ext>
            </c:extLst>
          </c:dLbls>
          <c:cat>
            <c:strRef>
              <c:f>'[503001-攀枝花市社会保险事务中心-附表.xls]Sheet1'!$A$8:$A$9</c:f>
              <c:strCache>
                <c:ptCount val="2"/>
                <c:pt idx="0">
                  <c:v>基本支出</c:v>
                </c:pt>
                <c:pt idx="1">
                  <c:v>项目支出</c:v>
                </c:pt>
              </c:strCache>
            </c:strRef>
          </c:cat>
          <c:val>
            <c:numRef>
              <c:f>'[503001-攀枝花市社会保险事务中心-附表.xls]Sheet1'!$B$8:$B$9</c:f>
              <c:numCache>
                <c:formatCode>General</c:formatCode>
                <c:ptCount val="2"/>
                <c:pt idx="0">
                  <c:v>1377.77</c:v>
                </c:pt>
                <c:pt idx="1">
                  <c:v>104.28</c:v>
                </c:pt>
              </c:numCache>
            </c:numRef>
          </c:val>
        </c:ser>
        <c:dLbls>
          <c:showLegendKey val="0"/>
          <c:showVal val="1"/>
          <c:showCatName val="0"/>
          <c:showSerName val="0"/>
          <c:showPercent val="0"/>
          <c:showBubbleSize val="0"/>
        </c:dLbls>
      </c:pie3D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e98bd6ee-55b2-42eb-a91a-b0405be58be9}"/>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Lbl>
              <c:idx val="0"/>
              <c:layout>
                <c:manualLayout>
                  <c:x val="0.00197368421052632"/>
                  <c:y val="-0.09375"/>
                </c:manualLayout>
              </c:layout>
              <c:dLblPos val="in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
                  <c:y val="-0.09375"/>
                </c:manualLayout>
              </c:layout>
              <c:dLblPos val="in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'[503001-攀枝花市社会保险事务中心-附表.xls]Sheet1'!$A$11:$A$12</c:f>
              <c:strCache>
                <c:ptCount val="2"/>
                <c:pt idx="0">
                  <c:v>2023年</c:v>
                </c:pt>
                <c:pt idx="1">
                  <c:v>2024年</c:v>
                </c:pt>
              </c:strCache>
            </c:strRef>
          </c:cat>
          <c:val>
            <c:numRef>
              <c:f>'[503001-攀枝花市社会保险事务中心-附表.xls]Sheet1'!$B$11:$B$12</c:f>
              <c:numCache>
                <c:formatCode>General</c:formatCode>
                <c:ptCount val="2"/>
                <c:pt idx="0">
                  <c:v>1555.86</c:v>
                </c:pt>
                <c:pt idx="1">
                  <c:v>1482.02</c:v>
                </c:pt>
              </c:numCache>
            </c:numRef>
          </c:val>
        </c:ser>
        <c:dLbls>
          <c:showLegendKey val="0"/>
          <c:showVal val="1"/>
          <c:showCatName val="0"/>
          <c:showSerName val="0"/>
          <c:showPercent val="0"/>
          <c:showBubbleSize val="0"/>
        </c:dLbls>
        <c:gapWidth val="75"/>
        <c:overlap val="40"/>
        <c:axId val="738248828"/>
        <c:axId val="379553109"/>
      </c:barChart>
      <c:catAx>
        <c:axId val="738248828"/>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379553109"/>
        <c:crosses val="autoZero"/>
        <c:auto val="1"/>
        <c:lblAlgn val="ctr"/>
        <c:lblOffset val="100"/>
        <c:noMultiLvlLbl val="0"/>
      </c:catAx>
      <c:valAx>
        <c:axId val="37955310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738248828"/>
        <c:crosses val="autoZero"/>
        <c:crossBetween val="between"/>
      </c:valAx>
      <c:spPr>
        <a:noFill/>
        <a:ln>
          <a:noFill/>
        </a:ln>
        <a:effectLst/>
      </c:spPr>
    </c:plotArea>
    <c:plotVisOnly val="1"/>
    <c:dispBlanksAs val="gap"/>
    <c:showDLblsOverMax val="0"/>
    <c:extLst>
      <c:ext uri="{0b15fc19-7d7d-44ad-8c2d-2c3a37ce22c3}">
        <chartProps xmlns="https://web.wps.cn/et/2018/main" chartId="{fec92e4b-d2bd-420e-8a82-b9c69ed875a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spPr>
            <a:blipFill rotWithShape="1">
              <a:blip xmlns:r="http://schemas.openxmlformats.org/officeDocument/2006/relationships" r:embed="rId3">
                <a:duotone>
                  <a:schemeClr val="accent1"/>
                  <a:prstClr val="white"/>
                </a:duotone>
              </a:blip>
              <a:stretch>
                <a:fillRect/>
              </a:stretch>
            </a:blipFill>
            <a:ln>
              <a:noFill/>
            </a:ln>
            <a:effectLst>
              <a:outerShdw blurRad="76200" dir="18900000" sy="23000" kx="-1200000" algn="bl" rotWithShape="0">
                <a:prstClr val="black">
                  <a:alpha val="20000"/>
                </a:prst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'[503001-攀枝花市社会保险事务中心-附表.xls]Sheet1'!$A$11:$A$12</c:f>
              <c:strCache>
                <c:ptCount val="2"/>
                <c:pt idx="0">
                  <c:v>2023年</c:v>
                </c:pt>
                <c:pt idx="1">
                  <c:v>2024年</c:v>
                </c:pt>
              </c:strCache>
            </c:strRef>
          </c:cat>
          <c:val>
            <c:numRef>
              <c:f>'[503001-攀枝花市社会保险事务中心-附表.xls]Sheet1'!$B$11:$B$12</c:f>
              <c:numCache>
                <c:formatCode>General</c:formatCode>
                <c:ptCount val="2"/>
                <c:pt idx="0">
                  <c:v>1555.86</c:v>
                </c:pt>
                <c:pt idx="1">
                  <c:v>1482.02</c:v>
                </c:pt>
              </c:numCache>
            </c:numRef>
          </c:val>
        </c:ser>
        <c:dLbls>
          <c:showLegendKey val="0"/>
          <c:showVal val="1"/>
          <c:showCatName val="0"/>
          <c:showSerName val="0"/>
          <c:showPercent val="0"/>
          <c:showBubbleSize val="0"/>
        </c:dLbls>
        <c:gapWidth val="75"/>
        <c:overlap val="40"/>
        <c:axId val="738248828"/>
        <c:axId val="379553109"/>
      </c:barChart>
      <c:catAx>
        <c:axId val="738248828"/>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379553109"/>
        <c:crosses val="autoZero"/>
        <c:auto val="1"/>
        <c:lblAlgn val="ctr"/>
        <c:lblOffset val="100"/>
        <c:noMultiLvlLbl val="0"/>
      </c:catAx>
      <c:valAx>
        <c:axId val="379553109"/>
        <c:scaling>
          <c:orientation val="minMax"/>
        </c:scaling>
        <c:delete val="0"/>
        <c:axPos val="l"/>
        <c:majorGridlines>
          <c:spPr>
            <a:ln w="6350" cap="flat" cmpd="sng" algn="ctr">
              <a:solidFill>
                <a:schemeClr val="tx1">
                  <a:lumMod val="50000"/>
                  <a:lumOff val="50000"/>
                  <a:alpha val="20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38248828"/>
        <c:crosses val="autoZero"/>
        <c:crossBetween val="between"/>
      </c:valAx>
      <c:spPr>
        <a:noFill/>
        <a:ln>
          <a:noFill/>
        </a:ln>
        <a:effectLst/>
      </c:spPr>
    </c:plotArea>
    <c:plotVisOnly val="1"/>
    <c:dispBlanksAs val="gap"/>
    <c:showDLblsOverMax val="0"/>
    <c:extLst>
      <c:ext uri="{0b15fc19-7d7d-44ad-8c2d-2c3a37ce22c3}">
        <chartProps xmlns="https://web.wps.cn/et/2018/main" chartId="{3853a78a-6e77-4964-9be2-14d7227c4790}"/>
      </c:ext>
    </c:extLst>
  </c:chart>
  <c:spPr>
    <a:solidFill>
      <a:schemeClr val="bg1"/>
    </a:solidFill>
    <a:ln w="6350" cap="flat" cmpd="sng" algn="ctr">
      <a:solidFill>
        <a:schemeClr val="tx1">
          <a:lumMod val="50000"/>
          <a:lumOff val="50000"/>
          <a:alpha val="15000"/>
        </a:schemeClr>
      </a:solidFill>
      <a:round/>
    </a:ln>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一般公共预算财政拨款支出决算结构</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gradFill>
              <a:gsLst>
                <a:gs pos="0">
                  <a:schemeClr val="accent1">
                    <a:lumMod val="60000"/>
                    <a:lumOff val="40000"/>
                  </a:schemeClr>
                </a:gs>
                <a:gs pos="100000">
                  <a:schemeClr val="accent1">
                    <a:lumMod val="75000"/>
                  </a:schemeClr>
                </a:gs>
              </a:gsLst>
              <a:lin ang="5400000" scaled="0"/>
            </a:gradFill>
            <a:ln w="25400">
              <a:solidFill>
                <a:schemeClr val="accent1">
                  <a:lumMod val="75000"/>
                </a:schemeClr>
              </a:solidFill>
            </a:ln>
          </c:spPr>
          <c:explosion val="0"/>
          <c:dPt>
            <c:idx val="0"/>
            <c:bubble3D val="0"/>
            <c:spPr>
              <a:gradFill>
                <a:gsLst>
                  <a:gs pos="0">
                    <a:schemeClr val="accent1">
                      <a:lumMod val="60000"/>
                      <a:lumOff val="40000"/>
                    </a:schemeClr>
                  </a:gs>
                  <a:gs pos="100000">
                    <a:schemeClr val="accent1">
                      <a:lumMod val="75000"/>
                    </a:schemeClr>
                  </a:gs>
                </a:gsLst>
                <a:lin ang="5400000" scaled="0"/>
              </a:gradFill>
              <a:ln w="25400">
                <a:solidFill>
                  <a:schemeClr val="accent1">
                    <a:lumMod val="75000"/>
                  </a:schemeClr>
                </a:solidFill>
              </a:ln>
              <a:effectLst>
                <a:outerShdw blurRad="50800" dist="38100" dir="2700000" algn="tl" rotWithShape="0">
                  <a:schemeClr val="accent1">
                    <a:alpha val="40000"/>
                  </a:schemeClr>
                </a:outerShdw>
              </a:effectLst>
            </c:spPr>
          </c:dPt>
          <c:dPt>
            <c:idx val="1"/>
            <c:bubble3D val="0"/>
            <c:spPr>
              <a:gradFill>
                <a:gsLst>
                  <a:gs pos="0">
                    <a:schemeClr val="accent2">
                      <a:lumMod val="60000"/>
                      <a:lumOff val="40000"/>
                    </a:schemeClr>
                  </a:gs>
                  <a:gs pos="100000">
                    <a:schemeClr val="accent2">
                      <a:lumMod val="75000"/>
                    </a:schemeClr>
                  </a:gs>
                </a:gsLst>
                <a:lin ang="5400000" scaled="0"/>
              </a:gradFill>
              <a:ln w="25400">
                <a:solidFill>
                  <a:schemeClr val="accent2">
                    <a:lumMod val="75000"/>
                  </a:schemeClr>
                </a:solidFill>
              </a:ln>
              <a:effectLst>
                <a:outerShdw blurRad="50800" dist="38100" dir="2700000" algn="tl" rotWithShape="0">
                  <a:schemeClr val="accent2">
                    <a:alpha val="40000"/>
                  </a:schemeClr>
                </a:outerShdw>
              </a:effectLst>
            </c:spPr>
          </c:dPt>
          <c:dPt>
            <c:idx val="2"/>
            <c:bubble3D val="0"/>
            <c:spPr>
              <a:gradFill>
                <a:gsLst>
                  <a:gs pos="0">
                    <a:schemeClr val="accent3">
                      <a:lumMod val="60000"/>
                      <a:lumOff val="40000"/>
                    </a:schemeClr>
                  </a:gs>
                  <a:gs pos="100000">
                    <a:schemeClr val="accent3">
                      <a:lumMod val="75000"/>
                    </a:schemeClr>
                  </a:gs>
                </a:gsLst>
                <a:lin ang="5400000" scaled="0"/>
              </a:gradFill>
              <a:ln w="25400">
                <a:solidFill>
                  <a:schemeClr val="accent3">
                    <a:lumMod val="75000"/>
                  </a:schemeClr>
                </a:solidFill>
              </a:ln>
              <a:effectLst>
                <a:outerShdw blurRad="50800" dist="38100" dir="2700000" algn="tl" rotWithShape="0">
                  <a:schemeClr val="accent3">
                    <a:alpha val="40000"/>
                  </a:schemeClr>
                </a:outerShdw>
              </a:effectLst>
            </c:spPr>
          </c:dPt>
          <c:dLbls>
            <c:dLbl>
              <c:idx val="1"/>
              <c:layout/>
              <c:tx>
                <c:rich>
                  <a:bodyPr rot="0" spcFirstLastPara="0" vertOverflow="ellipsis" vert="horz" wrap="square" lIns="38100" tIns="19050" rIns="38100" bIns="19050" anchor="ctr" anchorCtr="1" forceAA="0">
                    <a:spAutoFit/>
                  </a:bodyPr>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5%</a:t>
                    </a:r>
                    <a:endParaRPr>
                      <a:solidFill>
                        <a:sysClr val="windowText" lastClr="000000"/>
                      </a:solidFill>
                    </a:endParaRPr>
                  </a:p>
                </c:rich>
              </c:tx>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forceAA="0">
                    <a:spAutoFit/>
                  </a:bodyPr>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6%</a:t>
                    </a:r>
                    <a:endParaRPr>
                      <a:solidFill>
                        <a:sysClr val="windowText" lastClr="000000"/>
                      </a:solidFill>
                    </a:endParaRPr>
                  </a:p>
                </c:rich>
              </c:tx>
              <c:dLblPos val="inEnd"/>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'[503001-攀枝花市社会保险事务中心-附表.xls]Sheet1'!$A$14:$A$16</c:f>
              <c:strCache>
                <c:ptCount val="3"/>
                <c:pt idx="0">
                  <c:v>社会保障和就业支出</c:v>
                </c:pt>
                <c:pt idx="1">
                  <c:v>卫生健康支出</c:v>
                </c:pt>
                <c:pt idx="2">
                  <c:v>住房保障支出</c:v>
                </c:pt>
              </c:strCache>
            </c:strRef>
          </c:cat>
          <c:val>
            <c:numRef>
              <c:f>'[503001-攀枝花市社会保险事务中心-附表.xls]Sheet1'!$B$14:$B$16</c:f>
              <c:numCache>
                <c:formatCode>General</c:formatCode>
                <c:ptCount val="3"/>
                <c:pt idx="0">
                  <c:v>1312.96</c:v>
                </c:pt>
                <c:pt idx="1">
                  <c:v>77.34</c:v>
                </c:pt>
                <c:pt idx="2">
                  <c:v>91.71</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915a7b61-c200-428b-9f5d-c749f181d839}"/>
      </c:ext>
    </c:extLst>
  </c:chart>
  <c:spPr>
    <a:solidFill>
      <a:schemeClr val="bg1"/>
    </a:solidFill>
    <a:ln w="6350" cap="flat" cmpd="sng" algn="ctr">
      <a:solidFill>
        <a:schemeClr val="tx1">
          <a:lumMod val="50000"/>
          <a:lumOff val="50000"/>
          <a:alpha val="25000"/>
        </a:schemeClr>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“三公”经费财政拨款支出结构</a:t>
            </a:r>
          </a:p>
        </c:rich>
      </c:tx>
      <c:layout/>
      <c:overlay val="0"/>
      <c:spPr>
        <a:noFill/>
        <a:ln>
          <a:noFill/>
        </a:ln>
        <a:effectLst/>
      </c:spPr>
    </c:title>
    <c:autoTitleDeleted val="0"/>
    <c:plotArea>
      <c:layout/>
      <c:pieChart>
        <c:varyColors val="1"/>
        <c:ser>
          <c:idx val="0"/>
          <c:order val="0"/>
          <c:spPr>
            <a:solidFill>
              <a:schemeClr val="accent1"/>
            </a:solidFill>
            <a:ln w="25400">
              <a:solidFill>
                <a:schemeClr val="bg1"/>
              </a:solidFill>
            </a:ln>
            <a:effectLst>
              <a:outerShdw blurRad="63500" sx="104000" sy="104000" algn="ctr" rotWithShape="0">
                <a:schemeClr val="bg1">
                  <a:alpha val="33000"/>
                </a:schemeClr>
              </a:outerShdw>
            </a:effectLst>
            <a:sp3d contourW="25400"/>
          </c:spPr>
          <c:explosion val="0"/>
          <c:dPt>
            <c:idx val="0"/>
            <c:bubble3D val="0"/>
            <c:spPr>
              <a:solidFill>
                <a:schemeClr val="accent1"/>
              </a:solidFill>
              <a:ln w="25400">
                <a:solidFill>
                  <a:schemeClr val="bg1"/>
                </a:solidFill>
              </a:ln>
              <a:effectLst>
                <a:outerShdw blurRad="63500" sx="104000" sy="104000" algn="ctr" rotWithShape="0">
                  <a:schemeClr val="bg1">
                    <a:alpha val="33000"/>
                  </a:schemeClr>
                </a:outerShdw>
              </a:effectLst>
              <a:sp3d contourW="25400"/>
            </c:spPr>
          </c:dPt>
          <c:dPt>
            <c:idx val="1"/>
            <c:bubble3D val="0"/>
            <c:spPr>
              <a:solidFill>
                <a:schemeClr val="accent1">
                  <a:lumMod val="60000"/>
                  <a:lumOff val="40000"/>
                </a:schemeClr>
              </a:solidFill>
              <a:ln w="25400">
                <a:solidFill>
                  <a:schemeClr val="bg1"/>
                </a:solidFill>
              </a:ln>
              <a:effectLst>
                <a:outerShdw blurRad="63500" sx="104000" sy="104000" algn="ctr" rotWithShape="0">
                  <a:schemeClr val="bg1">
                    <a:alpha val="33000"/>
                  </a:schemeClr>
                </a:outerShdw>
              </a:effectLst>
              <a:sp3d contourW="25400"/>
            </c:spPr>
          </c:dPt>
          <c:dPt>
            <c:idx val="2"/>
            <c:bubble3D val="0"/>
            <c:spPr>
              <a:solidFill>
                <a:schemeClr val="accent1">
                  <a:lumMod val="40000"/>
                  <a:lumOff val="60000"/>
                </a:schemeClr>
              </a:solidFill>
              <a:ln w="25400">
                <a:solidFill>
                  <a:schemeClr val="bg1"/>
                </a:solidFill>
              </a:ln>
              <a:effectLst>
                <a:outerShdw blurRad="63500" sx="104000" sy="104000" algn="ctr" rotWithShape="0">
                  <a:schemeClr val="bg1">
                    <a:alpha val="33000"/>
                  </a:schemeClr>
                </a:outerShdw>
              </a:effectLst>
              <a:sp3d contourW="25400"/>
            </c:spPr>
          </c:dPt>
          <c:dLbls>
            <c:dLbl>
              <c:idx val="0"/>
              <c:layout/>
              <c:tx>
                <c:rich>
                  <a:bodyPr rot="0" spcFirstLastPara="0" vertOverflow="ellipsis" vert="horz" wrap="square" lIns="38100" tIns="19050" rIns="38100" bIns="19050" anchor="ctr" anchorCtr="1" forceAA="0"/>
                  <a:lstStyle/>
                  <a:p>
                    <a:pPr defTabSz="914400">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solidFill>
                          <a:sysClr val="windowText" lastClr="000000"/>
                        </a:solidFill>
                      </a:rPr>
                      <a:t>0%</a:t>
                    </a:r>
                    <a:endParaRPr>
                      <a:solidFill>
                        <a:sysClr val="windowText" lastClr="000000"/>
                      </a:solidFill>
                    </a:endParaRPr>
                  </a:p>
                </c:rich>
              </c:tx>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dLbl>
              <c:idx val="2"/>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accent1">
                          <a:lumMod val="7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inEnd"/>
            <c:showLegendKey val="0"/>
            <c:showVal val="0"/>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'[503001-攀枝花市社会保险事务中心-附表.xls]Sheet1'!$A$19:$A$21</c:f>
              <c:strCache>
                <c:ptCount val="3"/>
                <c:pt idx="0">
                  <c:v>因公出国（境）费</c:v>
                </c:pt>
                <c:pt idx="1">
                  <c:v>公务用车购置及运行维护费</c:v>
                </c:pt>
                <c:pt idx="2">
                  <c:v>公务接待费</c:v>
                </c:pt>
              </c:strCache>
            </c:strRef>
          </c:cat>
          <c:val>
            <c:numRef>
              <c:f>'[503001-攀枝花市社会保险事务中心-附表.xls]Sheet1'!$B$19:$B$21</c:f>
              <c:numCache>
                <c:formatCode>General</c:formatCode>
                <c:ptCount val="3"/>
                <c:pt idx="0">
                  <c:v>0</c:v>
                </c:pt>
                <c:pt idx="1">
                  <c:v>1.13</c:v>
                </c:pt>
                <c:pt idx="2">
                  <c:v>1.11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9d1f71c2-f4a8-4f6a-ac1c-6706175d821e}"/>
      </c:ext>
    </c:extLst>
  </c:chart>
  <c:spPr>
    <a:solidFill>
      <a:schemeClr val="bg1"/>
    </a:solidFill>
    <a:ln w="6350" cap="flat" cmpd="sng" algn="ctr">
      <a:solidFill>
        <a:schemeClr val="tx1">
          <a:lumMod val="50000"/>
          <a:lumOff val="50000"/>
          <a:alpha val="25000"/>
        </a:schemeClr>
      </a:solidFill>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97">
  <cs:axisTitle>
    <cs:lnRef idx="0"/>
    <cs:fillRef idx="0"/>
    <cs:effectRef idx="0"/>
    <cs:fontRef idx="minor">
      <a:schemeClr val="dk1">
        <a:lumMod val="65000"/>
        <a:lumOff val="35000"/>
      </a:schemeClr>
    </cs:fontRef>
    <cs:defRPr sz="1000"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lt1">
          <a:lumMod val="96000"/>
        </a:schemeClr>
      </a:solidFill>
      <a:ln w="9525" cap="flat" cmpd="sng" algn="ctr">
        <a:solidFill>
          <a:schemeClr val="tx1">
            <a:lumMod val="15000"/>
            <a:lumOff val="85000"/>
          </a:schemeClr>
        </a:solidFill>
        <a:round/>
      </a:ln>
    </cs:spPr>
    <cs:defRPr sz="1000" kern="1200"/>
  </cs:chartArea>
  <cs:dataLabel>
    <cs:lnRef idx="0"/>
    <cs:fillRef idx="0"/>
    <cs:effectRef idx="0"/>
    <cs:fontRef idx="minor">
      <a:schemeClr val="dk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0">
      <cs:styleClr val="auto"/>
    </cs:fillRef>
    <cs:effectRef idx="0"/>
    <cs:fontRef idx="minor">
      <a:schemeClr val="dk1"/>
    </cs:fontRef>
    <cs:spPr>
      <a:gradFill>
        <a:gsLst>
          <a:gs pos="100000">
            <a:schemeClr val="phClr"/>
          </a:gs>
          <a:gs pos="0">
            <a:schemeClr val="phClr">
              <a:hueOff val="-1670000"/>
            </a:schemeClr>
          </a:gs>
        </a:gsLst>
        <a:lin ang="5400000" scaled="0"/>
      </a:gradFill>
      <a:ln>
        <a:gradFill>
          <a:gsLst>
            <a:gs pos="100000">
              <a:schemeClr val="phClr">
                <a:lumMod val="75000"/>
              </a:schemeClr>
            </a:gs>
            <a:gs pos="0">
              <a:schemeClr val="phClr">
                <a:lumMod val="75000"/>
                <a:hueOff val="-1670000"/>
              </a:schemeClr>
            </a:gs>
          </a:gsLst>
          <a:lin ang="4620000" scaled="0"/>
        </a:gra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a:solidFill>
          <a:schemeClr val="dk1">
            <a:lumMod val="35000"/>
            <a:lumOff val="65000"/>
          </a:schemeClr>
        </a:solidFill>
      </a:ln>
    </cs:spPr>
  </cs:dropLine>
  <cs:errorBar>
    <cs:lnRef idx="0"/>
    <cs:fillRef idx="0"/>
    <cs:effectRef idx="0"/>
    <cs:fontRef idx="minor">
      <a:schemeClr val="tx1"/>
    </cs:fontRef>
    <cs:spPr>
      <a:ln w="9525" cap="flat" cmpd="sng" algn="ctr">
        <a:solidFill>
          <a:schemeClr val="dk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a:solidFill>
          <a:schemeClr val="dk1">
            <a:lumMod val="75000"/>
            <a:lumOff val="25000"/>
          </a:schemeClr>
        </a:solidFill>
      </a:ln>
    </cs:spPr>
  </cs:hiLoLine>
  <cs:leaderLine>
    <cs:lnRef idx="0"/>
    <cs:fillRef idx="0"/>
    <cs:effectRef idx="0"/>
    <cs:fontRef idx="minor">
      <a:schemeClr val="tx1"/>
    </cs:fontRef>
    <cs:spPr>
      <a:ln w="9525">
        <a:solidFill>
          <a:schemeClr val="dk1">
            <a:lumMod val="35000"/>
            <a:lumOff val="65000"/>
          </a:schemeClr>
        </a:solidFill>
      </a:ln>
    </cs:spPr>
  </cs:leaderLine>
  <cs:legend>
    <cs:lnRef idx="0"/>
    <cs:fillRef idx="0"/>
    <cs:effectRef idx="0"/>
    <cs:fontRef idx="minor">
      <a:schemeClr val="dk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tx1"/>
    </cs:fontRef>
    <cs:spPr>
      <a:ln w="9525">
        <a:solidFill>
          <a:schemeClr val="dk1">
            <a:lumMod val="35000"/>
            <a:lumOff val="65000"/>
          </a:schemeClr>
        </a:solidFill>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自定义 107">
    <a:dk1>
      <a:srgbClr val="000000"/>
    </a:dk1>
    <a:lt1>
      <a:srgbClr val="FFFFFF"/>
    </a:lt1>
    <a:dk2>
      <a:srgbClr val="44546A"/>
    </a:dk2>
    <a:lt2>
      <a:srgbClr val="E7E6E6"/>
    </a:lt2>
    <a:accent1>
      <a:srgbClr val="1D6FA9"/>
    </a:accent1>
    <a:accent2>
      <a:srgbClr val="39ADCE"/>
    </a:accent2>
    <a:accent3>
      <a:srgbClr val="8BC145"/>
    </a:accent3>
    <a:accent4>
      <a:srgbClr val="1D9A78"/>
    </a:accent4>
    <a:accent5>
      <a:srgbClr val="30C0B4"/>
    </a:accent5>
    <a:accent6>
      <a:srgbClr val="4874CB"/>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自定义 1">
    <a:dk1>
      <a:srgbClr val="000000"/>
    </a:dk1>
    <a:lt1>
      <a:srgbClr val="FFFFFF"/>
    </a:lt1>
    <a:dk2>
      <a:srgbClr val="44546A"/>
    </a:dk2>
    <a:lt2>
      <a:srgbClr val="E7E6E6"/>
    </a:lt2>
    <a:accent1>
      <a:srgbClr val="4F80FF"/>
    </a:accent1>
    <a:accent2>
      <a:srgbClr val="16CC8A"/>
    </a:accent2>
    <a:accent3>
      <a:srgbClr val="FFC619"/>
    </a:accent3>
    <a:accent4>
      <a:srgbClr val="FF7F41"/>
    </a:accent4>
    <a:accent5>
      <a:srgbClr val="F95F5F"/>
    </a:accent5>
    <a:accent6>
      <a:srgbClr val="A15CFF"/>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自定义 58">
    <a:dk1>
      <a:srgbClr val="000000"/>
    </a:dk1>
    <a:lt1>
      <a:srgbClr val="FFFFFF"/>
    </a:lt1>
    <a:dk2>
      <a:srgbClr val="44546A"/>
    </a:dk2>
    <a:lt2>
      <a:srgbClr val="E7E6E6"/>
    </a:lt2>
    <a:accent1>
      <a:srgbClr val="4F66FF"/>
    </a:accent1>
    <a:accent2>
      <a:srgbClr val="28A1FA"/>
    </a:accent2>
    <a:accent3>
      <a:srgbClr val="39D8DA"/>
    </a:accent3>
    <a:accent4>
      <a:srgbClr val="23D355"/>
    </a:accent4>
    <a:accent5>
      <a:srgbClr val="ABDF3A"/>
    </a:accent5>
    <a:accent6>
      <a:srgbClr val="FFC91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多彩-02">
    <a:dk1>
      <a:srgbClr val="000000"/>
    </a:dk1>
    <a:lt1>
      <a:srgbClr val="FFFFFF"/>
    </a:lt1>
    <a:dk2>
      <a:srgbClr val="000000"/>
    </a:dk2>
    <a:lt2>
      <a:srgbClr val="FEFFFF"/>
    </a:lt2>
    <a:accent1>
      <a:srgbClr val="3B73FF"/>
    </a:accent1>
    <a:accent2>
      <a:srgbClr val="18DC96"/>
    </a:accent2>
    <a:accent3>
      <a:srgbClr val="FFC41D"/>
    </a:accent3>
    <a:accent4>
      <a:srgbClr val="FF7741"/>
    </a:accent4>
    <a:accent5>
      <a:srgbClr val="FB5F5F"/>
    </a:accent5>
    <a:accent6>
      <a:srgbClr val="A15CFF"/>
    </a:accent6>
    <a:hlink>
      <a:srgbClr val="304FFE"/>
    </a:hlink>
    <a:folHlink>
      <a:srgbClr val="492067"/>
    </a:folHlink>
  </a:clrScheme>
  <a:fontScheme name="微软雅黑">
    <a:majorFont>
      <a:latin typeface="Arial"/>
      <a:ea typeface="微软雅黑"/>
      <a:cs typeface=""/>
    </a:majorFont>
    <a:minorFont>
      <a:latin typeface="Arial"/>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自定义 58">
    <a:dk1>
      <a:srgbClr val="000000"/>
    </a:dk1>
    <a:lt1>
      <a:srgbClr val="FFFFFF"/>
    </a:lt1>
    <a:dk2>
      <a:srgbClr val="44546A"/>
    </a:dk2>
    <a:lt2>
      <a:srgbClr val="E7E6E6"/>
    </a:lt2>
    <a:accent1>
      <a:srgbClr val="FF9205"/>
    </a:accent1>
    <a:accent2>
      <a:srgbClr val="EF534C"/>
    </a:accent2>
    <a:accent3>
      <a:srgbClr val="5DB020"/>
    </a:accent3>
    <a:accent4>
      <a:srgbClr val="468ED8"/>
    </a:accent4>
    <a:accent5>
      <a:srgbClr val="7058CA"/>
    </a:accent5>
    <a:accent6>
      <a:srgbClr val="C358CA"/>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自定义 27">
    <a:dk1>
      <a:srgbClr val="000000"/>
    </a:dk1>
    <a:lt1>
      <a:srgbClr val="FFFFFF"/>
    </a:lt1>
    <a:dk2>
      <a:srgbClr val="000000"/>
    </a:dk2>
    <a:lt2>
      <a:srgbClr val="FEFFFF"/>
    </a:lt2>
    <a:accent1>
      <a:srgbClr val="3B73FF"/>
    </a:accent1>
    <a:accent2>
      <a:srgbClr val="1DDC98"/>
    </a:accent2>
    <a:accent3>
      <a:srgbClr val="FFCC3E"/>
    </a:accent3>
    <a:accent4>
      <a:srgbClr val="FF7640"/>
    </a:accent4>
    <a:accent5>
      <a:srgbClr val="FC4242"/>
    </a:accent5>
    <a:accent6>
      <a:srgbClr val="A766FF"/>
    </a:accent6>
    <a:hlink>
      <a:srgbClr val="304FFE"/>
    </a:hlink>
    <a:folHlink>
      <a:srgbClr val="492067"/>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自定义 27">
    <a:dk1>
      <a:srgbClr val="000000"/>
    </a:dk1>
    <a:lt1>
      <a:srgbClr val="FFFFFF"/>
    </a:lt1>
    <a:dk2>
      <a:srgbClr val="000000"/>
    </a:dk2>
    <a:lt2>
      <a:srgbClr val="FEFFFF"/>
    </a:lt2>
    <a:accent1>
      <a:srgbClr val="3B73FF"/>
    </a:accent1>
    <a:accent2>
      <a:srgbClr val="1DDC98"/>
    </a:accent2>
    <a:accent3>
      <a:srgbClr val="FFCC3E"/>
    </a:accent3>
    <a:accent4>
      <a:srgbClr val="FF7640"/>
    </a:accent4>
    <a:accent5>
      <a:srgbClr val="FC4242"/>
    </a:accent5>
    <a:accent6>
      <a:srgbClr val="A766FF"/>
    </a:accent6>
    <a:hlink>
      <a:srgbClr val="304FFE"/>
    </a:hlink>
    <a:folHlink>
      <a:srgbClr val="492067"/>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55</Pages>
  <Words>20767</Words>
  <Characters>22402</Characters>
  <Lines>61</Lines>
  <Paragraphs>17</Paragraphs>
  <TotalTime>14</TotalTime>
  <ScaleCrop>false</ScaleCrop>
  <LinksUpToDate>false</LinksUpToDate>
  <CharactersWithSpaces>22470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庄莉莉</cp:lastModifiedBy>
  <cp:lastPrinted>2025-08-06T17:34:00Z</cp:lastPrinted>
  <dcterms:modified xsi:type="dcterms:W3CDTF">2025-09-11T02:13:35Z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1346FDFC7C7C4EFBBFB089A070FDD933_13</vt:lpwstr>
  </property>
  <property fmtid="{D5CDD505-2E9C-101B-9397-08002B2CF9AE}" pid="4" name="KSOTemplateDocerSaveRecord">
    <vt:lpwstr>eyJoZGlkIjoiMWE5NTE0ODQ5ZWU0OTRiNzg4OWYxMzJlMDIxMTc2MjEiLCJ1c2VySWQiOiIzMjk4NzUifQ==</vt:lpwstr>
  </property>
</Properties>
</file>