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C3FA05">
      <w:pPr>
        <w:pStyle w:val="2"/>
        <w:jc w:val="center"/>
        <w:rPr>
          <w:rFonts w:hint="default" w:ascii="Times New Roman" w:hAnsi="Times New Roman" w:eastAsia="方正小标宋简体" w:cs="Times New Roman"/>
          <w:color w:val="auto"/>
          <w:kern w:val="2"/>
          <w:sz w:val="44"/>
          <w:szCs w:val="44"/>
          <w:highlight w:val="none"/>
          <w:lang w:val="en-US" w:eastAsia="zh-CN" w:bidi="ar-SA"/>
        </w:rPr>
      </w:pPr>
      <w:bookmarkStart w:id="0" w:name="_Toc15377193"/>
      <w:bookmarkStart w:id="1" w:name="_Toc15396597"/>
      <w:bookmarkStart w:id="2" w:name="_Toc15377425"/>
      <w:bookmarkStart w:id="3" w:name="_Toc15378441"/>
      <w:bookmarkStart w:id="4" w:name="_Toc15396475"/>
      <w:bookmarkStart w:id="5" w:name="_Toc15306267"/>
    </w:p>
    <w:p w14:paraId="7906575D">
      <w:pPr>
        <w:pStyle w:val="2"/>
        <w:jc w:val="center"/>
        <w:rPr>
          <w:rFonts w:hint="default" w:ascii="Times New Roman" w:hAnsi="Times New Roman" w:eastAsia="方正小标宋简体" w:cs="Times New Roman"/>
          <w:color w:val="auto"/>
          <w:kern w:val="2"/>
          <w:sz w:val="44"/>
          <w:szCs w:val="44"/>
          <w:highlight w:val="none"/>
          <w:lang w:val="en-US" w:eastAsia="zh-CN" w:bidi="ar-SA"/>
        </w:rPr>
      </w:pPr>
    </w:p>
    <w:p w14:paraId="3B5AB864">
      <w:pPr>
        <w:pStyle w:val="2"/>
        <w:jc w:val="center"/>
        <w:rPr>
          <w:rFonts w:hint="default" w:ascii="Times New Roman" w:hAnsi="Times New Roman" w:eastAsia="方正小标宋简体" w:cs="Times New Roman"/>
          <w:color w:val="auto"/>
          <w:kern w:val="2"/>
          <w:sz w:val="44"/>
          <w:szCs w:val="44"/>
          <w:highlight w:val="none"/>
          <w:lang w:val="en-US" w:eastAsia="zh-CN" w:bidi="ar-SA"/>
        </w:rPr>
      </w:pPr>
    </w:p>
    <w:p w14:paraId="7FA5E986">
      <w:pPr>
        <w:pStyle w:val="2"/>
        <w:jc w:val="center"/>
        <w:rPr>
          <w:rFonts w:hint="default" w:ascii="Times New Roman" w:hAnsi="Times New Roman" w:eastAsia="方正小标宋简体" w:cs="Times New Roman"/>
          <w:color w:val="auto"/>
          <w:kern w:val="2"/>
          <w:sz w:val="44"/>
          <w:szCs w:val="44"/>
          <w:highlight w:val="none"/>
          <w:lang w:val="en-US" w:eastAsia="zh-CN" w:bidi="ar-SA"/>
        </w:rPr>
      </w:pPr>
    </w:p>
    <w:p w14:paraId="2DFE7739">
      <w:pPr>
        <w:pStyle w:val="2"/>
        <w:jc w:val="center"/>
        <w:rPr>
          <w:rFonts w:hint="default" w:ascii="Times New Roman" w:hAnsi="Times New Roman" w:eastAsia="方正小标宋简体" w:cs="Times New Roman"/>
          <w:color w:val="auto"/>
          <w:kern w:val="2"/>
          <w:sz w:val="44"/>
          <w:szCs w:val="44"/>
          <w:highlight w:val="none"/>
          <w:lang w:val="en-US" w:eastAsia="zh-CN" w:bidi="ar-SA"/>
        </w:rPr>
      </w:pPr>
    </w:p>
    <w:p w14:paraId="08827D9F">
      <w:pPr>
        <w:pStyle w:val="2"/>
        <w:jc w:val="center"/>
        <w:rPr>
          <w:rFonts w:hint="default" w:ascii="Times New Roman" w:hAnsi="Times New Roman" w:eastAsia="方正小标宋简体" w:cs="Times New Roman"/>
          <w:color w:val="auto"/>
          <w:kern w:val="2"/>
          <w:sz w:val="44"/>
          <w:szCs w:val="44"/>
          <w:highlight w:val="none"/>
          <w:lang w:val="en-US" w:eastAsia="zh-CN" w:bidi="ar-SA"/>
        </w:rPr>
      </w:pPr>
    </w:p>
    <w:p w14:paraId="16870F37">
      <w:pPr>
        <w:pStyle w:val="2"/>
        <w:jc w:val="center"/>
        <w:rPr>
          <w:rFonts w:hint="default" w:ascii="Times New Roman" w:hAnsi="Times New Roman" w:eastAsia="方正小标宋简体" w:cs="Times New Roman"/>
          <w:color w:val="auto"/>
          <w:kern w:val="2"/>
          <w:sz w:val="44"/>
          <w:szCs w:val="44"/>
          <w:highlight w:val="none"/>
          <w:lang w:val="en-US" w:eastAsia="zh-CN" w:bidi="ar-SA"/>
        </w:rPr>
      </w:pPr>
    </w:p>
    <w:bookmarkEnd w:id="0"/>
    <w:bookmarkEnd w:id="1"/>
    <w:bookmarkEnd w:id="2"/>
    <w:bookmarkEnd w:id="3"/>
    <w:bookmarkEnd w:id="4"/>
    <w:bookmarkEnd w:id="5"/>
    <w:p w14:paraId="7D00EE8C">
      <w:pPr>
        <w:pStyle w:val="2"/>
        <w:jc w:val="center"/>
        <w:rPr>
          <w:rFonts w:hint="default" w:ascii="Times New Roman" w:hAnsi="Times New Roman" w:eastAsia="方正小标宋简体" w:cs="Times New Roman"/>
          <w:color w:val="auto"/>
          <w:kern w:val="2"/>
          <w:sz w:val="52"/>
          <w:szCs w:val="52"/>
          <w:highlight w:val="none"/>
          <w:lang w:val="en-US" w:eastAsia="zh-CN" w:bidi="ar-SA"/>
        </w:rPr>
      </w:pPr>
      <w:bookmarkStart w:id="6" w:name="_Toc15396598"/>
      <w:bookmarkStart w:id="7" w:name="_Toc15378442"/>
      <w:bookmarkStart w:id="8" w:name="_Toc15377194"/>
      <w:bookmarkStart w:id="9" w:name="_Toc15377426"/>
      <w:bookmarkStart w:id="10" w:name="_Toc15396476"/>
      <w:bookmarkStart w:id="11" w:name="_Toc15306268"/>
      <w:r>
        <w:rPr>
          <w:rFonts w:hint="default" w:ascii="Times New Roman" w:hAnsi="Times New Roman" w:eastAsia="方正小标宋简体" w:cs="Times New Roman"/>
          <w:color w:val="auto"/>
          <w:kern w:val="2"/>
          <w:sz w:val="52"/>
          <w:szCs w:val="52"/>
          <w:highlight w:val="none"/>
          <w:lang w:val="en-US" w:eastAsia="zh-CN" w:bidi="ar-SA"/>
        </w:rPr>
        <w:t>攀枝花市人事考试中心</w:t>
      </w:r>
    </w:p>
    <w:p w14:paraId="16690CE9">
      <w:pPr>
        <w:pStyle w:val="2"/>
        <w:jc w:val="center"/>
        <w:rPr>
          <w:rFonts w:hint="default" w:ascii="Times New Roman" w:hAnsi="Times New Roman" w:eastAsia="方正小标宋简体" w:cs="Times New Roman"/>
          <w:color w:val="auto"/>
          <w:kern w:val="2"/>
          <w:sz w:val="52"/>
          <w:szCs w:val="52"/>
          <w:highlight w:val="none"/>
          <w:lang w:val="en-US" w:eastAsia="zh-CN" w:bidi="ar-SA"/>
        </w:rPr>
      </w:pPr>
      <w:r>
        <w:rPr>
          <w:rFonts w:hint="default" w:ascii="Times New Roman" w:hAnsi="Times New Roman" w:eastAsia="方正小标宋简体" w:cs="Times New Roman"/>
          <w:color w:val="auto"/>
          <w:kern w:val="2"/>
          <w:sz w:val="52"/>
          <w:szCs w:val="52"/>
          <w:highlight w:val="none"/>
          <w:lang w:val="en-US" w:eastAsia="zh-CN" w:bidi="ar-SA"/>
        </w:rPr>
        <w:t>2024年度单位决算公开文字说明</w:t>
      </w:r>
    </w:p>
    <w:p w14:paraId="49A9A4FD">
      <w:pPr>
        <w:pStyle w:val="2"/>
        <w:jc w:val="center"/>
        <w:rPr>
          <w:rFonts w:hint="default" w:ascii="Times New Roman" w:hAnsi="Times New Roman" w:eastAsia="方正小标宋简体" w:cs="Times New Roman"/>
          <w:color w:val="auto"/>
          <w:kern w:val="2"/>
          <w:sz w:val="44"/>
          <w:szCs w:val="44"/>
          <w:highlight w:val="none"/>
          <w:lang w:val="en-US" w:eastAsia="zh-CN" w:bidi="ar-SA"/>
        </w:rPr>
      </w:pPr>
    </w:p>
    <w:p w14:paraId="3747240B">
      <w:pPr>
        <w:pStyle w:val="2"/>
        <w:jc w:val="center"/>
        <w:rPr>
          <w:rFonts w:hint="default" w:ascii="Times New Roman" w:hAnsi="Times New Roman" w:eastAsia="方正小标宋简体" w:cs="Times New Roman"/>
          <w:color w:val="auto"/>
          <w:kern w:val="2"/>
          <w:sz w:val="44"/>
          <w:szCs w:val="44"/>
          <w:highlight w:val="none"/>
          <w:lang w:val="en-US" w:eastAsia="zh-CN" w:bidi="ar-SA"/>
        </w:rPr>
      </w:pPr>
    </w:p>
    <w:p w14:paraId="73948535">
      <w:pPr>
        <w:pStyle w:val="2"/>
        <w:jc w:val="center"/>
        <w:rPr>
          <w:rFonts w:hint="default" w:ascii="Times New Roman" w:hAnsi="Times New Roman" w:eastAsia="方正小标宋简体" w:cs="Times New Roman"/>
          <w:color w:val="auto"/>
          <w:kern w:val="2"/>
          <w:sz w:val="44"/>
          <w:szCs w:val="44"/>
          <w:highlight w:val="none"/>
          <w:lang w:val="en-US" w:eastAsia="zh-CN" w:bidi="ar-SA"/>
        </w:rPr>
      </w:pPr>
    </w:p>
    <w:p w14:paraId="35564AD4">
      <w:pPr>
        <w:pStyle w:val="2"/>
        <w:jc w:val="center"/>
        <w:rPr>
          <w:rFonts w:hint="default" w:ascii="Times New Roman" w:hAnsi="Times New Roman" w:eastAsia="方正小标宋简体" w:cs="Times New Roman"/>
          <w:color w:val="auto"/>
          <w:kern w:val="2"/>
          <w:sz w:val="44"/>
          <w:szCs w:val="44"/>
          <w:highlight w:val="none"/>
          <w:lang w:val="en-US" w:eastAsia="zh-CN" w:bidi="ar-SA"/>
        </w:rPr>
      </w:pPr>
    </w:p>
    <w:p w14:paraId="4420235C">
      <w:pPr>
        <w:pStyle w:val="2"/>
        <w:jc w:val="center"/>
        <w:rPr>
          <w:rFonts w:hint="default" w:ascii="Times New Roman" w:hAnsi="Times New Roman" w:eastAsia="方正小标宋简体" w:cs="Times New Roman"/>
          <w:color w:val="auto"/>
          <w:kern w:val="2"/>
          <w:sz w:val="44"/>
          <w:szCs w:val="44"/>
          <w:highlight w:val="none"/>
          <w:lang w:val="en-US" w:eastAsia="zh-CN" w:bidi="ar-SA"/>
        </w:rPr>
      </w:pPr>
    </w:p>
    <w:p w14:paraId="160F0A13">
      <w:pPr>
        <w:pStyle w:val="2"/>
        <w:jc w:val="center"/>
        <w:rPr>
          <w:rFonts w:hint="default" w:ascii="Times New Roman" w:hAnsi="Times New Roman" w:eastAsia="方正小标宋简体" w:cs="Times New Roman"/>
          <w:color w:val="auto"/>
          <w:kern w:val="2"/>
          <w:sz w:val="44"/>
          <w:szCs w:val="44"/>
          <w:highlight w:val="none"/>
          <w:lang w:val="en-US" w:eastAsia="zh-CN" w:bidi="ar-SA"/>
        </w:rPr>
      </w:pPr>
    </w:p>
    <w:p w14:paraId="4F43F960">
      <w:pPr>
        <w:pStyle w:val="2"/>
        <w:jc w:val="center"/>
        <w:rPr>
          <w:rFonts w:hint="default" w:ascii="Times New Roman" w:hAnsi="Times New Roman" w:eastAsia="方正小标宋简体" w:cs="Times New Roman"/>
          <w:color w:val="auto"/>
          <w:kern w:val="2"/>
          <w:sz w:val="44"/>
          <w:szCs w:val="44"/>
          <w:highlight w:val="none"/>
          <w:lang w:val="en-US" w:eastAsia="zh-CN" w:bidi="ar-SA"/>
        </w:rPr>
      </w:pPr>
    </w:p>
    <w:p w14:paraId="114E2A80">
      <w:pPr>
        <w:pStyle w:val="2"/>
        <w:jc w:val="center"/>
        <w:rPr>
          <w:rFonts w:hint="default" w:ascii="Times New Roman" w:hAnsi="Times New Roman" w:eastAsia="方正小标宋简体" w:cs="Times New Roman"/>
          <w:color w:val="auto"/>
          <w:kern w:val="2"/>
          <w:sz w:val="44"/>
          <w:szCs w:val="44"/>
          <w:highlight w:val="none"/>
          <w:lang w:val="en-US" w:eastAsia="zh-CN" w:bidi="ar-SA"/>
        </w:rPr>
      </w:pPr>
    </w:p>
    <w:p w14:paraId="1BEAEB6C">
      <w:pPr>
        <w:pStyle w:val="2"/>
        <w:jc w:val="center"/>
        <w:rPr>
          <w:rFonts w:hint="default" w:ascii="Times New Roman" w:hAnsi="Times New Roman" w:eastAsia="方正小标宋简体" w:cs="Times New Roman"/>
          <w:color w:val="auto"/>
          <w:kern w:val="2"/>
          <w:sz w:val="44"/>
          <w:szCs w:val="44"/>
          <w:highlight w:val="none"/>
          <w:lang w:val="en-US" w:eastAsia="zh-CN" w:bidi="ar-SA"/>
        </w:rPr>
      </w:pPr>
    </w:p>
    <w:bookmarkEnd w:id="6"/>
    <w:bookmarkEnd w:id="7"/>
    <w:bookmarkEnd w:id="8"/>
    <w:bookmarkEnd w:id="9"/>
    <w:bookmarkEnd w:id="10"/>
    <w:bookmarkEnd w:id="11"/>
    <w:p w14:paraId="085FD46B">
      <w:pPr>
        <w:widowControl/>
        <w:jc w:val="center"/>
        <w:rPr>
          <w:rFonts w:hint="default" w:ascii="Times New Roman" w:hAnsi="Times New Roman" w:eastAsia="黑体" w:cs="Times New Roman"/>
          <w:color w:val="auto"/>
          <w:sz w:val="48"/>
          <w:szCs w:val="48"/>
          <w:highlight w:val="none"/>
        </w:rPr>
      </w:pPr>
      <w:r>
        <w:rPr>
          <w:rFonts w:hint="default" w:ascii="Times New Roman" w:hAnsi="Times New Roman" w:eastAsia="黑体" w:cs="Times New Roman"/>
          <w:color w:val="auto"/>
          <w:sz w:val="48"/>
          <w:szCs w:val="48"/>
          <w:highlight w:val="none"/>
        </w:rPr>
        <w:t>目录</w:t>
      </w:r>
    </w:p>
    <w:p w14:paraId="70EAC9A3">
      <w:pPr>
        <w:widowControl/>
        <w:jc w:val="center"/>
        <w:rPr>
          <w:rFonts w:hint="default" w:ascii="Times New Roman" w:hAnsi="Times New Roman" w:eastAsia="黑体" w:cs="Times New Roman"/>
          <w:color w:val="auto"/>
          <w:sz w:val="28"/>
          <w:szCs w:val="28"/>
          <w:highlight w:val="none"/>
        </w:rPr>
      </w:pPr>
    </w:p>
    <w:p w14:paraId="342C4FC2">
      <w:pPr>
        <w:pStyle w:val="12"/>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公开时间：20</w:t>
      </w:r>
      <w:r>
        <w:rPr>
          <w:rFonts w:hint="default" w:ascii="Times New Roman" w:hAnsi="Times New Roman" w:eastAsia="仿宋_GB2312" w:cs="Times New Roman"/>
          <w:color w:val="auto"/>
          <w:sz w:val="32"/>
          <w:szCs w:val="32"/>
          <w:highlight w:val="none"/>
          <w:lang w:val="en-US" w:eastAsia="zh-CN"/>
        </w:rPr>
        <w:t>25</w:t>
      </w:r>
      <w:r>
        <w:rPr>
          <w:rFonts w:hint="default" w:ascii="Times New Roman" w:hAnsi="Times New Roman" w:eastAsia="仿宋_GB2312" w:cs="Times New Roman"/>
          <w:color w:val="auto"/>
          <w:sz w:val="32"/>
          <w:szCs w:val="32"/>
          <w:highlight w:val="none"/>
        </w:rPr>
        <w:t>年</w:t>
      </w:r>
      <w:r>
        <w:rPr>
          <w:rFonts w:hint="default" w:ascii="Times New Roman" w:hAnsi="Times New Roman" w:eastAsia="仿宋_GB2312" w:cs="Times New Roman"/>
          <w:color w:val="auto"/>
          <w:sz w:val="32"/>
          <w:szCs w:val="32"/>
          <w:highlight w:val="none"/>
          <w:lang w:val="en-US" w:eastAsia="zh-CN"/>
        </w:rPr>
        <w:t>9</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16</w:t>
      </w:r>
      <w:r>
        <w:rPr>
          <w:rFonts w:hint="default" w:ascii="Times New Roman" w:hAnsi="Times New Roman" w:eastAsia="仿宋_GB2312" w:cs="Times New Roman"/>
          <w:color w:val="auto"/>
          <w:sz w:val="32"/>
          <w:szCs w:val="32"/>
          <w:highlight w:val="none"/>
        </w:rPr>
        <w:t>日</w:t>
      </w:r>
    </w:p>
    <w:p w14:paraId="7C9386FF">
      <w:pPr>
        <w:rPr>
          <w:rFonts w:hint="default" w:ascii="Times New Roman" w:hAnsi="Times New Roman" w:cs="Times New Roman"/>
          <w:color w:val="auto"/>
          <w:highlight w:val="none"/>
        </w:rPr>
      </w:pPr>
    </w:p>
    <w:p w14:paraId="5DF498A9">
      <w:pPr>
        <w:pStyle w:val="14"/>
        <w:adjustRightInd w:val="0"/>
        <w:snapToGrid w:val="0"/>
        <w:spacing w:line="440" w:lineRule="exact"/>
        <w:ind w:left="0" w:leftChars="0" w:firstLine="0" w:firstLineChars="0"/>
        <w:jc w:val="left"/>
        <w:rPr>
          <w:rFonts w:hint="eastAsia" w:ascii="Times New Roman" w:hAnsi="Times New Roman" w:eastAsia="宋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rPr>
        <w:t xml:space="preserve">第一部分 </w:t>
      </w:r>
      <w:r>
        <w:rPr>
          <w:rFonts w:hint="default" w:ascii="Times New Roman" w:hAnsi="Times New Roman" w:eastAsia="黑体" w:cs="Times New Roman"/>
          <w:color w:val="auto"/>
          <w:sz w:val="32"/>
          <w:szCs w:val="32"/>
          <w:highlight w:val="none"/>
          <w:lang w:val="en-US" w:eastAsia="zh-CN"/>
        </w:rPr>
        <w:t>单位</w:t>
      </w:r>
      <w:r>
        <w:rPr>
          <w:rFonts w:hint="default" w:ascii="Times New Roman" w:hAnsi="Times New Roman" w:eastAsia="黑体" w:cs="Times New Roman"/>
          <w:color w:val="auto"/>
          <w:sz w:val="32"/>
          <w:szCs w:val="32"/>
          <w:highlight w:val="none"/>
        </w:rPr>
        <w:t>概况</w:t>
      </w:r>
      <w:r>
        <w:rPr>
          <w:rFonts w:hint="default" w:ascii="Times New Roman" w:hAnsi="Times New Roman" w:cs="Times New Roman"/>
          <w:sz w:val="24"/>
        </w:rPr>
        <w:tab/>
      </w:r>
      <w:r>
        <w:rPr>
          <w:rFonts w:hint="eastAsia" w:ascii="Times New Roman" w:hAnsi="Times New Roman" w:cs="Times New Roman"/>
          <w:sz w:val="24"/>
          <w:lang w:val="en-US" w:eastAsia="zh-CN"/>
        </w:rPr>
        <w:t>1</w:t>
      </w:r>
    </w:p>
    <w:p w14:paraId="1BCE2E77">
      <w:pPr>
        <w:pStyle w:val="14"/>
        <w:adjustRightInd w:val="0"/>
        <w:snapToGrid w:val="0"/>
        <w:spacing w:line="440" w:lineRule="exact"/>
        <w:ind w:left="0" w:leftChars="0" w:firstLine="640" w:firstLineChars="200"/>
        <w:jc w:val="left"/>
        <w:rPr>
          <w:rFonts w:hint="eastAsia" w:ascii="Times New Roman" w:hAnsi="Times New Roman" w:eastAsia="宋体"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一、</w:t>
      </w:r>
      <w:r>
        <w:rPr>
          <w:rFonts w:hint="default" w:ascii="Times New Roman" w:hAnsi="Times New Roman" w:eastAsia="仿宋_GB2312" w:cs="Times New Roman"/>
          <w:color w:val="auto"/>
          <w:sz w:val="32"/>
          <w:szCs w:val="32"/>
          <w:highlight w:val="none"/>
          <w:lang w:val="en-US" w:eastAsia="zh-CN"/>
        </w:rPr>
        <w:t>单位</w:t>
      </w:r>
      <w:r>
        <w:rPr>
          <w:rFonts w:hint="default" w:ascii="Times New Roman" w:hAnsi="Times New Roman" w:eastAsia="仿宋_GB2312" w:cs="Times New Roman"/>
          <w:color w:val="auto"/>
          <w:sz w:val="32"/>
          <w:szCs w:val="32"/>
          <w:highlight w:val="none"/>
          <w:lang w:eastAsia="zh-CN"/>
        </w:rPr>
        <w:t>职责</w:t>
      </w:r>
      <w:r>
        <w:rPr>
          <w:rFonts w:hint="default" w:ascii="Times New Roman" w:hAnsi="Times New Roman" w:cs="Times New Roman"/>
          <w:sz w:val="24"/>
        </w:rPr>
        <w:tab/>
      </w:r>
      <w:r>
        <w:rPr>
          <w:rFonts w:hint="eastAsia" w:ascii="Times New Roman" w:hAnsi="Times New Roman" w:cs="Times New Roman"/>
          <w:sz w:val="24"/>
          <w:lang w:val="en-US" w:eastAsia="zh-CN"/>
        </w:rPr>
        <w:t>1</w:t>
      </w:r>
    </w:p>
    <w:p w14:paraId="762FC7EC">
      <w:pPr>
        <w:pStyle w:val="14"/>
        <w:adjustRightInd w:val="0"/>
        <w:snapToGrid w:val="0"/>
        <w:spacing w:line="440" w:lineRule="exact"/>
        <w:ind w:left="0" w:leftChars="0" w:firstLine="640" w:firstLineChars="200"/>
        <w:jc w:val="left"/>
        <w:rPr>
          <w:rFonts w:hint="eastAsia" w:ascii="Times New Roman" w:hAnsi="Times New Roman" w:eastAsia="宋体" w:cs="Times New Roman"/>
          <w:lang w:val="en-US" w:eastAsia="zh-CN"/>
        </w:rPr>
      </w:pPr>
      <w:r>
        <w:rPr>
          <w:rFonts w:hint="default" w:ascii="Times New Roman" w:hAnsi="Times New Roman" w:eastAsia="仿宋_GB2312" w:cs="Times New Roman"/>
          <w:color w:val="auto"/>
          <w:sz w:val="32"/>
          <w:szCs w:val="32"/>
          <w:highlight w:val="none"/>
        </w:rPr>
        <w:t>二、机构设置</w:t>
      </w:r>
      <w:r>
        <w:rPr>
          <w:rFonts w:hint="default" w:ascii="Times New Roman" w:hAnsi="Times New Roman" w:cs="Times New Roman"/>
          <w:sz w:val="24"/>
        </w:rPr>
        <w:tab/>
      </w:r>
      <w:r>
        <w:rPr>
          <w:rFonts w:hint="eastAsia" w:ascii="Times New Roman" w:hAnsi="Times New Roman" w:cs="Times New Roman"/>
          <w:sz w:val="24"/>
          <w:lang w:val="en-US" w:eastAsia="zh-CN"/>
        </w:rPr>
        <w:t>1</w:t>
      </w:r>
    </w:p>
    <w:p w14:paraId="4BD63404">
      <w:pPr>
        <w:pStyle w:val="14"/>
        <w:adjustRightInd w:val="0"/>
        <w:snapToGrid w:val="0"/>
        <w:spacing w:line="440" w:lineRule="exact"/>
        <w:ind w:left="0" w:leftChars="0" w:firstLine="0" w:firstLineChars="0"/>
        <w:jc w:val="left"/>
        <w:rPr>
          <w:rFonts w:hint="default" w:ascii="Times New Roman" w:hAnsi="Times New Roman" w:eastAsia="宋体" w:cs="Times New Roman"/>
          <w:lang w:val="en-US" w:eastAsia="zh-CN"/>
        </w:rPr>
      </w:pPr>
      <w:r>
        <w:rPr>
          <w:rFonts w:hint="default" w:ascii="Times New Roman" w:hAnsi="Times New Roman" w:eastAsia="黑体" w:cs="Times New Roman"/>
          <w:color w:val="auto"/>
          <w:sz w:val="32"/>
          <w:szCs w:val="32"/>
          <w:highlight w:val="none"/>
        </w:rPr>
        <w:t>第二部分</w:t>
      </w:r>
      <w:r>
        <w:rPr>
          <w:rFonts w:hint="default" w:ascii="Times New Roman" w:hAnsi="Times New Roman" w:eastAsia="黑体" w:cs="Times New Roman"/>
          <w:color w:val="auto"/>
          <w:sz w:val="32"/>
          <w:szCs w:val="32"/>
          <w:highlight w:val="none"/>
          <w:lang w:val="en-US" w:eastAsia="zh-CN"/>
        </w:rPr>
        <w:t xml:space="preserve"> 2024年度</w:t>
      </w:r>
      <w:r>
        <w:rPr>
          <w:rFonts w:hint="default" w:ascii="Times New Roman" w:hAnsi="Times New Roman" w:eastAsia="黑体" w:cs="Times New Roman"/>
          <w:color w:val="auto"/>
          <w:sz w:val="32"/>
          <w:szCs w:val="32"/>
          <w:highlight w:val="none"/>
        </w:rPr>
        <w:t>部门决算情况说明</w:t>
      </w:r>
      <w:r>
        <w:rPr>
          <w:rFonts w:hint="default" w:ascii="Times New Roman" w:hAnsi="Times New Roman" w:cs="Times New Roman"/>
          <w:sz w:val="24"/>
        </w:rPr>
        <w:tab/>
      </w:r>
      <w:r>
        <w:rPr>
          <w:rFonts w:hint="eastAsia" w:ascii="Times New Roman" w:hAnsi="Times New Roman" w:cs="Times New Roman"/>
          <w:sz w:val="24"/>
          <w:lang w:val="en-US" w:eastAsia="zh-CN"/>
        </w:rPr>
        <w:t>2</w:t>
      </w:r>
    </w:p>
    <w:p w14:paraId="675F5C7B">
      <w:pPr>
        <w:pStyle w:val="14"/>
        <w:adjustRightInd w:val="0"/>
        <w:snapToGrid w:val="0"/>
        <w:spacing w:line="440" w:lineRule="exact"/>
        <w:ind w:left="0" w:leftChars="0" w:firstLine="640" w:firstLineChars="200"/>
        <w:jc w:val="left"/>
        <w:rPr>
          <w:rFonts w:hint="default" w:ascii="Times New Roman" w:hAnsi="Times New Roman" w:eastAsia="宋体" w:cs="Times New Roman"/>
          <w:lang w:val="en-US" w:eastAsia="zh-CN"/>
        </w:rPr>
      </w:pPr>
      <w:r>
        <w:rPr>
          <w:rFonts w:hint="default" w:ascii="Times New Roman" w:hAnsi="Times New Roman" w:eastAsia="仿宋_GB2312" w:cs="Times New Roman"/>
          <w:color w:val="auto"/>
          <w:sz w:val="32"/>
          <w:szCs w:val="32"/>
          <w:highlight w:val="none"/>
        </w:rPr>
        <w:t>一、收入支出决算总体情况说明</w:t>
      </w:r>
      <w:r>
        <w:rPr>
          <w:rFonts w:hint="default" w:ascii="Times New Roman" w:hAnsi="Times New Roman" w:cs="Times New Roman"/>
          <w:sz w:val="24"/>
        </w:rPr>
        <w:tab/>
      </w:r>
      <w:r>
        <w:rPr>
          <w:rFonts w:hint="eastAsia" w:ascii="Times New Roman" w:hAnsi="Times New Roman" w:cs="Times New Roman"/>
          <w:sz w:val="24"/>
          <w:lang w:val="en-US" w:eastAsia="zh-CN"/>
        </w:rPr>
        <w:t>2</w:t>
      </w:r>
    </w:p>
    <w:p w14:paraId="7C51225D">
      <w:pPr>
        <w:pStyle w:val="14"/>
        <w:adjustRightInd w:val="0"/>
        <w:snapToGrid w:val="0"/>
        <w:spacing w:line="440" w:lineRule="exact"/>
        <w:ind w:left="0" w:leftChars="0" w:firstLine="640" w:firstLineChars="200"/>
        <w:jc w:val="left"/>
        <w:rPr>
          <w:rFonts w:hint="default" w:ascii="Times New Roman" w:hAnsi="Times New Roman" w:eastAsia="宋体" w:cs="Times New Roman"/>
          <w:lang w:val="en-US" w:eastAsia="zh-CN"/>
        </w:rPr>
      </w:pPr>
      <w:r>
        <w:rPr>
          <w:rFonts w:hint="default" w:ascii="Times New Roman" w:hAnsi="Times New Roman" w:eastAsia="仿宋_GB2312" w:cs="Times New Roman"/>
          <w:color w:val="auto"/>
          <w:sz w:val="32"/>
          <w:szCs w:val="32"/>
          <w:highlight w:val="none"/>
        </w:rPr>
        <w:t>二、收入决算情况说明</w:t>
      </w:r>
      <w:r>
        <w:rPr>
          <w:rFonts w:hint="default" w:ascii="Times New Roman" w:hAnsi="Times New Roman" w:cs="Times New Roman"/>
          <w:sz w:val="24"/>
        </w:rPr>
        <w:tab/>
      </w:r>
      <w:r>
        <w:rPr>
          <w:rFonts w:hint="eastAsia" w:ascii="Times New Roman" w:hAnsi="Times New Roman" w:cs="Times New Roman"/>
          <w:sz w:val="24"/>
          <w:lang w:val="en-US" w:eastAsia="zh-CN"/>
        </w:rPr>
        <w:t>2</w:t>
      </w:r>
    </w:p>
    <w:p w14:paraId="6DB54100">
      <w:pPr>
        <w:pStyle w:val="14"/>
        <w:adjustRightInd w:val="0"/>
        <w:snapToGrid w:val="0"/>
        <w:spacing w:line="440" w:lineRule="exact"/>
        <w:ind w:left="0" w:leftChars="0" w:firstLine="640" w:firstLineChars="200"/>
        <w:jc w:val="left"/>
        <w:rPr>
          <w:rFonts w:hint="default" w:ascii="Times New Roman" w:hAnsi="Times New Roman" w:eastAsia="宋体" w:cs="Times New Roman"/>
          <w:lang w:val="en-US" w:eastAsia="zh-CN"/>
        </w:rPr>
      </w:pPr>
      <w:r>
        <w:rPr>
          <w:rFonts w:hint="default" w:ascii="Times New Roman" w:hAnsi="Times New Roman" w:eastAsia="仿宋_GB2312" w:cs="Times New Roman"/>
          <w:color w:val="auto"/>
          <w:sz w:val="32"/>
          <w:szCs w:val="32"/>
          <w:highlight w:val="none"/>
        </w:rPr>
        <w:t>三、支出决算情况说明</w:t>
      </w:r>
      <w:r>
        <w:rPr>
          <w:rFonts w:hint="default" w:ascii="Times New Roman" w:hAnsi="Times New Roman" w:cs="Times New Roman"/>
          <w:sz w:val="24"/>
        </w:rPr>
        <w:tab/>
      </w:r>
      <w:r>
        <w:rPr>
          <w:rFonts w:hint="eastAsia" w:ascii="Times New Roman" w:hAnsi="Times New Roman" w:cs="Times New Roman"/>
          <w:sz w:val="24"/>
          <w:lang w:val="en-US" w:eastAsia="zh-CN"/>
        </w:rPr>
        <w:t>3</w:t>
      </w:r>
    </w:p>
    <w:p w14:paraId="32F66816">
      <w:pPr>
        <w:pStyle w:val="14"/>
        <w:adjustRightInd w:val="0"/>
        <w:snapToGrid w:val="0"/>
        <w:spacing w:line="440" w:lineRule="exact"/>
        <w:ind w:left="0" w:leftChars="0" w:firstLine="640" w:firstLineChars="200"/>
        <w:jc w:val="left"/>
        <w:rPr>
          <w:rFonts w:hint="default" w:ascii="Times New Roman" w:hAnsi="Times New Roman" w:eastAsia="宋体" w:cs="Times New Roman"/>
          <w:lang w:val="en-US" w:eastAsia="zh-CN"/>
        </w:rPr>
      </w:pPr>
      <w:r>
        <w:rPr>
          <w:rFonts w:hint="default" w:ascii="Times New Roman" w:hAnsi="Times New Roman" w:eastAsia="仿宋_GB2312" w:cs="Times New Roman"/>
          <w:color w:val="auto"/>
          <w:sz w:val="32"/>
          <w:szCs w:val="32"/>
          <w:highlight w:val="none"/>
        </w:rPr>
        <w:t>四、财政拨款收入支出决算总体情况说明</w:t>
      </w:r>
      <w:r>
        <w:rPr>
          <w:rFonts w:hint="default" w:ascii="Times New Roman" w:hAnsi="Times New Roman" w:cs="Times New Roman"/>
          <w:sz w:val="24"/>
        </w:rPr>
        <w:tab/>
      </w:r>
      <w:r>
        <w:rPr>
          <w:rFonts w:hint="eastAsia" w:ascii="Times New Roman" w:hAnsi="Times New Roman" w:cs="Times New Roman"/>
          <w:sz w:val="24"/>
          <w:lang w:val="en-US" w:eastAsia="zh-CN"/>
        </w:rPr>
        <w:t>3</w:t>
      </w:r>
    </w:p>
    <w:p w14:paraId="163D63F0">
      <w:pPr>
        <w:pStyle w:val="14"/>
        <w:adjustRightInd w:val="0"/>
        <w:snapToGrid w:val="0"/>
        <w:spacing w:line="440" w:lineRule="exact"/>
        <w:ind w:left="0" w:leftChars="0" w:firstLine="640" w:firstLineChars="200"/>
        <w:jc w:val="left"/>
        <w:rPr>
          <w:rFonts w:hint="default" w:ascii="Times New Roman" w:hAnsi="Times New Roman" w:eastAsia="宋体" w:cs="Times New Roman"/>
          <w:lang w:val="en-US" w:eastAsia="zh-CN"/>
        </w:rPr>
      </w:pPr>
      <w:r>
        <w:rPr>
          <w:rFonts w:hint="default" w:ascii="Times New Roman" w:hAnsi="Times New Roman" w:eastAsia="仿宋_GB2312" w:cs="Times New Roman"/>
          <w:color w:val="auto"/>
          <w:sz w:val="32"/>
          <w:szCs w:val="32"/>
          <w:highlight w:val="none"/>
        </w:rPr>
        <w:t>五、一般公共预算财政拨款支出决算情况说明</w:t>
      </w:r>
      <w:r>
        <w:rPr>
          <w:rFonts w:hint="default" w:ascii="Times New Roman" w:hAnsi="Times New Roman" w:cs="Times New Roman"/>
          <w:sz w:val="24"/>
        </w:rPr>
        <w:tab/>
      </w:r>
      <w:r>
        <w:rPr>
          <w:rFonts w:hint="eastAsia" w:ascii="Times New Roman" w:hAnsi="Times New Roman" w:cs="Times New Roman"/>
          <w:sz w:val="24"/>
          <w:lang w:val="en-US" w:eastAsia="zh-CN"/>
        </w:rPr>
        <w:t>4</w:t>
      </w:r>
    </w:p>
    <w:p w14:paraId="7A6D06B3">
      <w:pPr>
        <w:pStyle w:val="14"/>
        <w:adjustRightInd w:val="0"/>
        <w:snapToGrid w:val="0"/>
        <w:spacing w:line="440" w:lineRule="exact"/>
        <w:ind w:left="0" w:leftChars="0" w:firstLine="640" w:firstLineChars="200"/>
        <w:jc w:val="left"/>
        <w:rPr>
          <w:rFonts w:hint="default" w:ascii="Times New Roman" w:hAnsi="Times New Roman" w:eastAsia="宋体" w:cs="Times New Roman"/>
          <w:lang w:val="en-US" w:eastAsia="zh-CN"/>
        </w:rPr>
      </w:pPr>
      <w:r>
        <w:rPr>
          <w:rFonts w:hint="default" w:ascii="Times New Roman" w:hAnsi="Times New Roman" w:eastAsia="仿宋_GB2312" w:cs="Times New Roman"/>
          <w:color w:val="auto"/>
          <w:sz w:val="32"/>
          <w:szCs w:val="32"/>
          <w:highlight w:val="none"/>
        </w:rPr>
        <w:t>六、一般公共预算财政拨款基本支出决算情况说明</w:t>
      </w:r>
      <w:r>
        <w:rPr>
          <w:rFonts w:hint="default" w:ascii="Times New Roman" w:hAnsi="Times New Roman" w:cs="Times New Roman"/>
          <w:sz w:val="24"/>
        </w:rPr>
        <w:tab/>
      </w:r>
      <w:r>
        <w:rPr>
          <w:rFonts w:hint="eastAsia" w:ascii="Times New Roman" w:hAnsi="Times New Roman" w:cs="Times New Roman"/>
          <w:sz w:val="24"/>
          <w:lang w:val="en-US" w:eastAsia="zh-CN"/>
        </w:rPr>
        <w:t>7</w:t>
      </w:r>
    </w:p>
    <w:p w14:paraId="7DCCCCEC">
      <w:pPr>
        <w:pStyle w:val="14"/>
        <w:adjustRightInd w:val="0"/>
        <w:snapToGrid w:val="0"/>
        <w:spacing w:line="440" w:lineRule="exact"/>
        <w:ind w:left="0" w:leftChars="0" w:firstLine="640" w:firstLineChars="200"/>
        <w:jc w:val="left"/>
        <w:rPr>
          <w:rFonts w:hint="default" w:ascii="Times New Roman" w:hAnsi="Times New Roman" w:eastAsia="宋体" w:cs="Times New Roman"/>
          <w:lang w:val="en-US" w:eastAsia="zh-CN"/>
        </w:rPr>
      </w:pPr>
      <w:r>
        <w:rPr>
          <w:rFonts w:hint="default" w:ascii="Times New Roman" w:hAnsi="Times New Roman" w:eastAsia="仿宋_GB2312" w:cs="Times New Roman"/>
          <w:color w:val="auto"/>
          <w:sz w:val="32"/>
          <w:szCs w:val="32"/>
          <w:highlight w:val="none"/>
        </w:rPr>
        <w:t>七、财政拨款</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三公”经费支出决算情况说明</w:t>
      </w:r>
      <w:r>
        <w:rPr>
          <w:rFonts w:hint="default" w:ascii="Times New Roman" w:hAnsi="Times New Roman" w:cs="Times New Roman"/>
          <w:sz w:val="24"/>
        </w:rPr>
        <w:tab/>
      </w:r>
      <w:r>
        <w:rPr>
          <w:rFonts w:hint="eastAsia" w:ascii="Times New Roman" w:hAnsi="Times New Roman" w:cs="Times New Roman"/>
          <w:sz w:val="24"/>
          <w:lang w:val="en-US" w:eastAsia="zh-CN"/>
        </w:rPr>
        <w:t>7</w:t>
      </w:r>
    </w:p>
    <w:p w14:paraId="033FB7F8">
      <w:pPr>
        <w:pStyle w:val="14"/>
        <w:adjustRightInd w:val="0"/>
        <w:snapToGrid w:val="0"/>
        <w:spacing w:line="440" w:lineRule="exact"/>
        <w:ind w:left="0" w:leftChars="0" w:firstLine="640" w:firstLineChars="200"/>
        <w:jc w:val="left"/>
        <w:rPr>
          <w:rFonts w:hint="default" w:ascii="Times New Roman" w:hAnsi="Times New Roman" w:eastAsia="宋体" w:cs="Times New Roman"/>
          <w:lang w:val="en-US" w:eastAsia="zh-CN"/>
        </w:rPr>
      </w:pPr>
      <w:r>
        <w:rPr>
          <w:rFonts w:hint="default" w:ascii="Times New Roman" w:hAnsi="Times New Roman" w:eastAsia="仿宋_GB2312" w:cs="Times New Roman"/>
          <w:color w:val="auto"/>
          <w:sz w:val="32"/>
          <w:szCs w:val="32"/>
          <w:highlight w:val="none"/>
        </w:rPr>
        <w:t>八、政府性基金预算支出决算情况说明</w:t>
      </w:r>
      <w:r>
        <w:rPr>
          <w:rFonts w:hint="default" w:ascii="Times New Roman" w:hAnsi="Times New Roman" w:cs="Times New Roman"/>
          <w:sz w:val="24"/>
        </w:rPr>
        <w:tab/>
      </w:r>
      <w:r>
        <w:rPr>
          <w:rFonts w:hint="eastAsia" w:ascii="Times New Roman" w:hAnsi="Times New Roman" w:cs="Times New Roman"/>
          <w:sz w:val="24"/>
          <w:lang w:val="en-US" w:eastAsia="zh-CN"/>
        </w:rPr>
        <w:t>9</w:t>
      </w:r>
    </w:p>
    <w:p w14:paraId="494B889F">
      <w:pPr>
        <w:pStyle w:val="14"/>
        <w:adjustRightInd w:val="0"/>
        <w:snapToGrid w:val="0"/>
        <w:spacing w:line="440" w:lineRule="exact"/>
        <w:ind w:left="0" w:leftChars="0" w:firstLine="640" w:firstLineChars="200"/>
        <w:jc w:val="left"/>
        <w:rPr>
          <w:rFonts w:hint="default" w:ascii="Times New Roman" w:hAnsi="Times New Roman" w:eastAsia="宋体" w:cs="Times New Roman"/>
          <w:lang w:val="en-US" w:eastAsia="zh-CN"/>
        </w:rPr>
      </w:pPr>
      <w:r>
        <w:rPr>
          <w:rFonts w:hint="default" w:ascii="Times New Roman" w:hAnsi="Times New Roman" w:eastAsia="仿宋_GB2312" w:cs="Times New Roman"/>
          <w:color w:val="auto"/>
          <w:sz w:val="32"/>
          <w:szCs w:val="32"/>
          <w:highlight w:val="none"/>
        </w:rPr>
        <w:t>九、</w:t>
      </w:r>
      <w:r>
        <w:rPr>
          <w:rFonts w:hint="default" w:ascii="Times New Roman" w:hAnsi="Times New Roman" w:eastAsia="仿宋_GB2312" w:cs="Times New Roman"/>
          <w:color w:val="auto"/>
          <w:sz w:val="32"/>
          <w:szCs w:val="32"/>
          <w:highlight w:val="none"/>
          <w:lang w:eastAsia="zh-CN"/>
        </w:rPr>
        <w:t>国</w:t>
      </w:r>
      <w:r>
        <w:rPr>
          <w:rFonts w:hint="default" w:ascii="Times New Roman" w:hAnsi="Times New Roman" w:eastAsia="仿宋_GB2312" w:cs="Times New Roman"/>
          <w:color w:val="auto"/>
          <w:sz w:val="32"/>
          <w:szCs w:val="32"/>
          <w:highlight w:val="none"/>
        </w:rPr>
        <w:t>有资本经营预算支出决算情况说明</w:t>
      </w:r>
      <w:r>
        <w:rPr>
          <w:rFonts w:hint="default" w:ascii="Times New Roman" w:hAnsi="Times New Roman" w:cs="Times New Roman"/>
          <w:sz w:val="24"/>
        </w:rPr>
        <w:tab/>
      </w:r>
      <w:r>
        <w:rPr>
          <w:rFonts w:hint="eastAsia" w:ascii="Times New Roman" w:hAnsi="Times New Roman" w:cs="Times New Roman"/>
          <w:sz w:val="24"/>
          <w:lang w:val="en-US" w:eastAsia="zh-CN"/>
        </w:rPr>
        <w:t>9</w:t>
      </w:r>
    </w:p>
    <w:p w14:paraId="452FEC47">
      <w:pPr>
        <w:pStyle w:val="14"/>
        <w:adjustRightInd w:val="0"/>
        <w:snapToGrid w:val="0"/>
        <w:spacing w:line="440" w:lineRule="exact"/>
        <w:ind w:left="0" w:leftChars="0" w:firstLine="640" w:firstLineChars="200"/>
        <w:jc w:val="left"/>
        <w:rPr>
          <w:rFonts w:hint="default" w:ascii="Times New Roman" w:hAnsi="Times New Roman" w:eastAsia="宋体" w:cs="Times New Roman"/>
          <w:lang w:val="en-US" w:eastAsia="zh-CN"/>
        </w:rPr>
      </w:pPr>
      <w:r>
        <w:rPr>
          <w:rFonts w:hint="default" w:ascii="Times New Roman" w:hAnsi="Times New Roman" w:eastAsia="仿宋_GB2312" w:cs="Times New Roman"/>
          <w:color w:val="auto"/>
          <w:sz w:val="32"/>
          <w:szCs w:val="32"/>
          <w:highlight w:val="none"/>
          <w:lang w:eastAsia="zh-CN"/>
        </w:rPr>
        <w:t>十</w:t>
      </w:r>
      <w:r>
        <w:rPr>
          <w:rFonts w:hint="default" w:ascii="Times New Roman" w:hAnsi="Times New Roman" w:eastAsia="仿宋_GB2312" w:cs="Times New Roman"/>
          <w:color w:val="auto"/>
          <w:sz w:val="32"/>
          <w:szCs w:val="32"/>
          <w:highlight w:val="none"/>
        </w:rPr>
        <w:t>、其他重要事项的情况说明</w:t>
      </w:r>
      <w:r>
        <w:rPr>
          <w:rFonts w:hint="default" w:ascii="Times New Roman" w:hAnsi="Times New Roman" w:cs="Times New Roman"/>
          <w:sz w:val="24"/>
        </w:rPr>
        <w:tab/>
      </w:r>
      <w:r>
        <w:rPr>
          <w:rFonts w:hint="default" w:ascii="Times New Roman" w:hAnsi="Times New Roman" w:cs="Times New Roman"/>
          <w:sz w:val="24"/>
          <w:lang w:val="en-US" w:eastAsia="zh-CN"/>
        </w:rPr>
        <w:t>1</w:t>
      </w:r>
      <w:r>
        <w:rPr>
          <w:rFonts w:hint="eastAsia" w:ascii="Times New Roman" w:hAnsi="Times New Roman" w:cs="Times New Roman"/>
          <w:sz w:val="24"/>
          <w:lang w:val="en-US" w:eastAsia="zh-CN"/>
        </w:rPr>
        <w:t>0</w:t>
      </w:r>
    </w:p>
    <w:p w14:paraId="475BB96B">
      <w:pPr>
        <w:pStyle w:val="14"/>
        <w:adjustRightInd w:val="0"/>
        <w:snapToGrid w:val="0"/>
        <w:spacing w:line="440" w:lineRule="exact"/>
        <w:ind w:left="0" w:leftChars="0" w:firstLine="0" w:firstLineChars="0"/>
        <w:jc w:val="left"/>
        <w:rPr>
          <w:rFonts w:hint="default" w:ascii="Times New Roman" w:hAnsi="Times New Roman" w:eastAsia="宋体" w:cs="Times New Roman"/>
          <w:lang w:val="en-US" w:eastAsia="zh-CN"/>
        </w:rPr>
      </w:pPr>
      <w:r>
        <w:rPr>
          <w:rFonts w:hint="default" w:ascii="Times New Roman" w:hAnsi="Times New Roman" w:eastAsia="黑体" w:cs="Times New Roman"/>
          <w:color w:val="auto"/>
          <w:sz w:val="32"/>
          <w:szCs w:val="32"/>
          <w:highlight w:val="none"/>
        </w:rPr>
        <w:t>第三部分 名词解释</w:t>
      </w:r>
      <w:r>
        <w:rPr>
          <w:rFonts w:hint="default" w:ascii="Times New Roman" w:hAnsi="Times New Roman" w:cs="Times New Roman"/>
          <w:sz w:val="24"/>
        </w:rPr>
        <w:tab/>
      </w:r>
      <w:r>
        <w:rPr>
          <w:rFonts w:hint="default" w:ascii="Times New Roman" w:hAnsi="Times New Roman" w:cs="Times New Roman"/>
          <w:sz w:val="24"/>
          <w:lang w:val="en-US" w:eastAsia="zh-CN"/>
        </w:rPr>
        <w:t>1</w:t>
      </w:r>
      <w:r>
        <w:rPr>
          <w:rFonts w:hint="eastAsia" w:cs="Times New Roman"/>
          <w:sz w:val="24"/>
          <w:lang w:val="en-US" w:eastAsia="zh-CN"/>
        </w:rPr>
        <w:t>1</w:t>
      </w:r>
    </w:p>
    <w:p w14:paraId="63557B69">
      <w:pPr>
        <w:pStyle w:val="14"/>
        <w:adjustRightInd w:val="0"/>
        <w:snapToGrid w:val="0"/>
        <w:spacing w:line="440" w:lineRule="exact"/>
        <w:ind w:left="0" w:leftChars="0" w:firstLine="0" w:firstLineChars="0"/>
        <w:jc w:val="left"/>
        <w:rPr>
          <w:rFonts w:hint="default" w:ascii="Times New Roman" w:hAnsi="Times New Roman" w:eastAsia="宋体" w:cs="Times New Roman"/>
          <w:lang w:val="en-US" w:eastAsia="zh-CN"/>
        </w:rPr>
      </w:pPr>
      <w:r>
        <w:rPr>
          <w:rFonts w:hint="default" w:ascii="Times New Roman" w:hAnsi="Times New Roman" w:eastAsia="黑体" w:cs="Times New Roman"/>
          <w:color w:val="auto"/>
          <w:sz w:val="32"/>
          <w:szCs w:val="32"/>
          <w:highlight w:val="none"/>
        </w:rPr>
        <w:t>第四部分 附件</w:t>
      </w:r>
      <w:r>
        <w:rPr>
          <w:rFonts w:hint="default" w:ascii="Times New Roman" w:hAnsi="Times New Roman" w:cs="Times New Roman"/>
          <w:sz w:val="24"/>
        </w:rPr>
        <w:tab/>
      </w:r>
      <w:r>
        <w:rPr>
          <w:rFonts w:hint="default" w:ascii="Times New Roman" w:hAnsi="Times New Roman" w:cs="Times New Roman"/>
          <w:sz w:val="24"/>
          <w:lang w:val="en-US" w:eastAsia="zh-CN"/>
        </w:rPr>
        <w:t>1</w:t>
      </w:r>
      <w:r>
        <w:rPr>
          <w:rFonts w:hint="eastAsia" w:cs="Times New Roman"/>
          <w:sz w:val="24"/>
          <w:lang w:val="en-US" w:eastAsia="zh-CN"/>
        </w:rPr>
        <w:t>3</w:t>
      </w:r>
    </w:p>
    <w:p w14:paraId="51418D25">
      <w:pPr>
        <w:pStyle w:val="14"/>
        <w:adjustRightInd w:val="0"/>
        <w:snapToGrid w:val="0"/>
        <w:spacing w:line="440" w:lineRule="exact"/>
        <w:ind w:left="0" w:leftChars="0" w:firstLine="0" w:firstLineChars="0"/>
        <w:jc w:val="left"/>
        <w:rPr>
          <w:rFonts w:hint="default" w:ascii="Times New Roman" w:hAnsi="Times New Roman" w:eastAsia="宋体" w:cs="Times New Roman"/>
          <w:lang w:val="en-US" w:eastAsia="zh-CN"/>
        </w:rPr>
      </w:pPr>
      <w:r>
        <w:rPr>
          <w:rFonts w:hint="default" w:ascii="Times New Roman" w:hAnsi="Times New Roman" w:eastAsia="黑体" w:cs="Times New Roman"/>
          <w:color w:val="auto"/>
          <w:sz w:val="32"/>
          <w:szCs w:val="32"/>
          <w:highlight w:val="none"/>
        </w:rPr>
        <w:t>第五部分 附表</w:t>
      </w:r>
      <w:r>
        <w:rPr>
          <w:rFonts w:hint="default" w:ascii="Times New Roman" w:hAnsi="Times New Roman" w:cs="Times New Roman"/>
          <w:sz w:val="24"/>
        </w:rPr>
        <w:tab/>
      </w:r>
      <w:r>
        <w:rPr>
          <w:rFonts w:hint="default" w:ascii="Times New Roman" w:hAnsi="Times New Roman" w:cs="Times New Roman"/>
          <w:sz w:val="24"/>
          <w:lang w:val="en-US" w:eastAsia="zh-CN"/>
        </w:rPr>
        <w:t>1</w:t>
      </w:r>
      <w:r>
        <w:rPr>
          <w:rFonts w:hint="eastAsia" w:cs="Times New Roman"/>
          <w:sz w:val="24"/>
          <w:lang w:val="en-US" w:eastAsia="zh-CN"/>
        </w:rPr>
        <w:t>4</w:t>
      </w:r>
    </w:p>
    <w:p w14:paraId="7101D87D">
      <w:pPr>
        <w:pStyle w:val="14"/>
        <w:adjustRightInd w:val="0"/>
        <w:snapToGrid w:val="0"/>
        <w:spacing w:line="440" w:lineRule="exact"/>
        <w:ind w:left="0" w:leftChars="0" w:firstLine="640" w:firstLineChars="200"/>
        <w:jc w:val="left"/>
        <w:rPr>
          <w:rFonts w:hint="default" w:ascii="Times New Roman" w:hAnsi="Times New Roman" w:eastAsia="宋体" w:cs="Times New Roman"/>
          <w:lang w:val="en-US" w:eastAsia="zh-CN"/>
        </w:rPr>
      </w:pPr>
      <w:r>
        <w:rPr>
          <w:rFonts w:hint="default" w:ascii="Times New Roman" w:hAnsi="Times New Roman" w:eastAsia="仿宋_GB2312" w:cs="Times New Roman"/>
          <w:color w:val="auto"/>
          <w:sz w:val="32"/>
          <w:szCs w:val="32"/>
          <w:highlight w:val="none"/>
        </w:rPr>
        <w:t>一、收入支出决算总表</w:t>
      </w:r>
      <w:r>
        <w:rPr>
          <w:rFonts w:hint="default" w:ascii="Times New Roman" w:hAnsi="Times New Roman" w:cs="Times New Roman"/>
          <w:sz w:val="24"/>
        </w:rPr>
        <w:tab/>
      </w:r>
      <w:r>
        <w:rPr>
          <w:rFonts w:hint="default" w:ascii="Times New Roman" w:hAnsi="Times New Roman" w:cs="Times New Roman"/>
          <w:sz w:val="24"/>
          <w:lang w:val="en-US" w:eastAsia="zh-CN"/>
        </w:rPr>
        <w:t>1</w:t>
      </w:r>
      <w:r>
        <w:rPr>
          <w:rFonts w:hint="eastAsia" w:cs="Times New Roman"/>
          <w:sz w:val="24"/>
          <w:lang w:val="en-US" w:eastAsia="zh-CN"/>
        </w:rPr>
        <w:t>4</w:t>
      </w:r>
    </w:p>
    <w:p w14:paraId="0B89908A">
      <w:pPr>
        <w:pStyle w:val="14"/>
        <w:adjustRightInd w:val="0"/>
        <w:snapToGrid w:val="0"/>
        <w:spacing w:line="440" w:lineRule="exact"/>
        <w:ind w:left="0" w:leftChars="0" w:firstLine="640" w:firstLineChars="200"/>
        <w:jc w:val="left"/>
        <w:rPr>
          <w:rFonts w:hint="default" w:ascii="Times New Roman" w:hAnsi="Times New Roman" w:eastAsia="宋体" w:cs="Times New Roman"/>
          <w:lang w:val="en-US" w:eastAsia="zh-CN"/>
        </w:rPr>
      </w:pPr>
      <w:r>
        <w:rPr>
          <w:rFonts w:hint="default" w:ascii="Times New Roman" w:hAnsi="Times New Roman" w:eastAsia="仿宋_GB2312" w:cs="Times New Roman"/>
          <w:color w:val="auto"/>
          <w:sz w:val="32"/>
          <w:szCs w:val="32"/>
          <w:highlight w:val="none"/>
        </w:rPr>
        <w:t>二、收入决算表</w:t>
      </w:r>
      <w:r>
        <w:rPr>
          <w:rFonts w:hint="default" w:ascii="Times New Roman" w:hAnsi="Times New Roman" w:cs="Times New Roman"/>
          <w:sz w:val="24"/>
        </w:rPr>
        <w:tab/>
      </w:r>
      <w:r>
        <w:rPr>
          <w:rFonts w:hint="default" w:ascii="Times New Roman" w:hAnsi="Times New Roman" w:cs="Times New Roman"/>
          <w:sz w:val="24"/>
          <w:lang w:val="en-US" w:eastAsia="zh-CN"/>
        </w:rPr>
        <w:t>1</w:t>
      </w:r>
      <w:r>
        <w:rPr>
          <w:rFonts w:hint="eastAsia" w:cs="Times New Roman"/>
          <w:sz w:val="24"/>
          <w:lang w:val="en-US" w:eastAsia="zh-CN"/>
        </w:rPr>
        <w:t>4</w:t>
      </w:r>
    </w:p>
    <w:p w14:paraId="42ECC110">
      <w:pPr>
        <w:pStyle w:val="14"/>
        <w:adjustRightInd w:val="0"/>
        <w:snapToGrid w:val="0"/>
        <w:spacing w:line="440" w:lineRule="exact"/>
        <w:ind w:left="0" w:leftChars="0" w:firstLine="640" w:firstLineChars="200"/>
        <w:jc w:val="left"/>
        <w:rPr>
          <w:rFonts w:hint="default" w:ascii="Times New Roman" w:hAnsi="Times New Roman" w:cs="Times New Roman"/>
          <w:lang w:val="en-US"/>
        </w:rPr>
      </w:pPr>
      <w:r>
        <w:rPr>
          <w:rFonts w:hint="default" w:ascii="Times New Roman" w:hAnsi="Times New Roman" w:eastAsia="仿宋_GB2312" w:cs="Times New Roman"/>
          <w:color w:val="auto"/>
          <w:sz w:val="32"/>
          <w:szCs w:val="32"/>
          <w:highlight w:val="none"/>
        </w:rPr>
        <w:t>三、支出决算表</w:t>
      </w:r>
      <w:r>
        <w:rPr>
          <w:rFonts w:hint="default" w:ascii="Times New Roman" w:hAnsi="Times New Roman" w:cs="Times New Roman"/>
          <w:sz w:val="24"/>
        </w:rPr>
        <w:tab/>
      </w:r>
      <w:r>
        <w:rPr>
          <w:rFonts w:hint="default" w:ascii="Times New Roman" w:hAnsi="Times New Roman" w:cs="Times New Roman"/>
          <w:sz w:val="24"/>
          <w:lang w:val="en-US" w:eastAsia="zh-CN"/>
        </w:rPr>
        <w:t>1</w:t>
      </w:r>
      <w:r>
        <w:rPr>
          <w:rFonts w:hint="eastAsia" w:cs="Times New Roman"/>
          <w:sz w:val="24"/>
          <w:lang w:val="en-US" w:eastAsia="zh-CN"/>
        </w:rPr>
        <w:t>4</w:t>
      </w:r>
    </w:p>
    <w:p w14:paraId="292B9C51">
      <w:pPr>
        <w:pStyle w:val="14"/>
        <w:adjustRightInd w:val="0"/>
        <w:snapToGrid w:val="0"/>
        <w:spacing w:line="440" w:lineRule="exact"/>
        <w:ind w:left="0" w:leftChars="0" w:firstLine="640" w:firstLineChars="200"/>
        <w:jc w:val="left"/>
        <w:rPr>
          <w:rFonts w:hint="default" w:ascii="Times New Roman" w:hAnsi="Times New Roman" w:cs="Times New Roman"/>
          <w:lang w:val="en-US"/>
        </w:rPr>
      </w:pPr>
      <w:r>
        <w:rPr>
          <w:rFonts w:hint="default" w:ascii="Times New Roman" w:hAnsi="Times New Roman" w:eastAsia="仿宋_GB2312" w:cs="Times New Roman"/>
          <w:color w:val="auto"/>
          <w:sz w:val="32"/>
          <w:szCs w:val="32"/>
          <w:highlight w:val="none"/>
        </w:rPr>
        <w:t>四、财政拨款收入支出决算总表</w:t>
      </w:r>
      <w:r>
        <w:rPr>
          <w:rFonts w:hint="default" w:ascii="Times New Roman" w:hAnsi="Times New Roman" w:cs="Times New Roman"/>
          <w:sz w:val="24"/>
        </w:rPr>
        <w:tab/>
      </w:r>
      <w:r>
        <w:rPr>
          <w:rFonts w:hint="default" w:ascii="Times New Roman" w:hAnsi="Times New Roman" w:cs="Times New Roman"/>
          <w:sz w:val="24"/>
          <w:lang w:val="en-US" w:eastAsia="zh-CN"/>
        </w:rPr>
        <w:t>1</w:t>
      </w:r>
      <w:r>
        <w:rPr>
          <w:rFonts w:hint="eastAsia" w:cs="Times New Roman"/>
          <w:sz w:val="24"/>
          <w:lang w:val="en-US" w:eastAsia="zh-CN"/>
        </w:rPr>
        <w:t>4</w:t>
      </w:r>
    </w:p>
    <w:p w14:paraId="7E9CF4A9">
      <w:pPr>
        <w:pStyle w:val="14"/>
        <w:adjustRightInd w:val="0"/>
        <w:snapToGrid w:val="0"/>
        <w:spacing w:line="440" w:lineRule="exact"/>
        <w:ind w:left="0" w:leftChars="0" w:firstLine="640" w:firstLineChars="200"/>
        <w:jc w:val="left"/>
        <w:rPr>
          <w:rFonts w:hint="default" w:ascii="Times New Roman" w:hAnsi="Times New Roman" w:cs="Times New Roman"/>
          <w:lang w:val="en-US"/>
        </w:rPr>
      </w:pPr>
      <w:r>
        <w:rPr>
          <w:rFonts w:hint="default" w:ascii="Times New Roman" w:hAnsi="Times New Roman" w:eastAsia="仿宋_GB2312" w:cs="Times New Roman"/>
          <w:color w:val="auto"/>
          <w:sz w:val="32"/>
          <w:szCs w:val="32"/>
          <w:highlight w:val="none"/>
        </w:rPr>
        <w:t>五、财政拨款支出决算明细表</w:t>
      </w:r>
      <w:r>
        <w:rPr>
          <w:rFonts w:hint="default" w:ascii="Times New Roman" w:hAnsi="Times New Roman" w:cs="Times New Roman"/>
          <w:sz w:val="24"/>
        </w:rPr>
        <w:tab/>
      </w:r>
      <w:r>
        <w:rPr>
          <w:rFonts w:hint="default" w:ascii="Times New Roman" w:hAnsi="Times New Roman" w:cs="Times New Roman"/>
          <w:sz w:val="24"/>
          <w:lang w:val="en-US" w:eastAsia="zh-CN"/>
        </w:rPr>
        <w:t>1</w:t>
      </w:r>
      <w:r>
        <w:rPr>
          <w:rFonts w:hint="eastAsia" w:cs="Times New Roman"/>
          <w:sz w:val="24"/>
          <w:lang w:val="en-US" w:eastAsia="zh-CN"/>
        </w:rPr>
        <w:t>4</w:t>
      </w:r>
    </w:p>
    <w:p w14:paraId="4524B9CB">
      <w:pPr>
        <w:pStyle w:val="14"/>
        <w:adjustRightInd w:val="0"/>
        <w:snapToGrid w:val="0"/>
        <w:spacing w:line="440" w:lineRule="exact"/>
        <w:ind w:left="0" w:leftChars="0" w:firstLine="640" w:firstLineChars="200"/>
        <w:jc w:val="left"/>
        <w:rPr>
          <w:rFonts w:hint="default" w:ascii="Times New Roman" w:hAnsi="Times New Roman" w:cs="Times New Roman"/>
          <w:lang w:val="en-US"/>
        </w:rPr>
      </w:pPr>
      <w:r>
        <w:rPr>
          <w:rFonts w:hint="default" w:ascii="Times New Roman" w:hAnsi="Times New Roman" w:eastAsia="仿宋_GB2312" w:cs="Times New Roman"/>
          <w:color w:val="auto"/>
          <w:sz w:val="32"/>
          <w:szCs w:val="32"/>
          <w:highlight w:val="none"/>
        </w:rPr>
        <w:t>六、一般公共预算财政拨款支出决算表</w:t>
      </w:r>
      <w:r>
        <w:rPr>
          <w:rFonts w:hint="default" w:ascii="Times New Roman" w:hAnsi="Times New Roman" w:cs="Times New Roman"/>
          <w:sz w:val="24"/>
        </w:rPr>
        <w:tab/>
      </w:r>
      <w:r>
        <w:rPr>
          <w:rFonts w:hint="default" w:ascii="Times New Roman" w:hAnsi="Times New Roman" w:cs="Times New Roman"/>
          <w:sz w:val="24"/>
          <w:lang w:val="en-US" w:eastAsia="zh-CN"/>
        </w:rPr>
        <w:t>1</w:t>
      </w:r>
      <w:r>
        <w:rPr>
          <w:rFonts w:hint="eastAsia" w:cs="Times New Roman"/>
          <w:sz w:val="24"/>
          <w:lang w:val="en-US" w:eastAsia="zh-CN"/>
        </w:rPr>
        <w:t>4</w:t>
      </w:r>
    </w:p>
    <w:p w14:paraId="37AEC1C0">
      <w:pPr>
        <w:pStyle w:val="14"/>
        <w:adjustRightInd w:val="0"/>
        <w:snapToGrid w:val="0"/>
        <w:spacing w:line="440" w:lineRule="exact"/>
        <w:ind w:left="0" w:leftChars="0" w:firstLine="640" w:firstLineChars="200"/>
        <w:jc w:val="left"/>
        <w:rPr>
          <w:rFonts w:hint="default" w:ascii="Times New Roman" w:hAnsi="Times New Roman" w:cs="Times New Roman"/>
          <w:lang w:val="en-US"/>
        </w:rPr>
      </w:pPr>
      <w:r>
        <w:rPr>
          <w:rFonts w:hint="default" w:ascii="Times New Roman" w:hAnsi="Times New Roman" w:eastAsia="仿宋_GB2312" w:cs="Times New Roman"/>
          <w:color w:val="auto"/>
          <w:sz w:val="32"/>
          <w:szCs w:val="32"/>
          <w:highlight w:val="none"/>
        </w:rPr>
        <w:t>七、一般公共预算财政拨款支出决算明细表</w:t>
      </w:r>
      <w:r>
        <w:rPr>
          <w:rFonts w:hint="default" w:ascii="Times New Roman" w:hAnsi="Times New Roman" w:cs="Times New Roman"/>
          <w:sz w:val="24"/>
        </w:rPr>
        <w:tab/>
      </w:r>
      <w:r>
        <w:rPr>
          <w:rFonts w:hint="default" w:ascii="Times New Roman" w:hAnsi="Times New Roman" w:cs="Times New Roman"/>
          <w:sz w:val="24"/>
          <w:lang w:val="en-US" w:eastAsia="zh-CN"/>
        </w:rPr>
        <w:t>1</w:t>
      </w:r>
      <w:r>
        <w:rPr>
          <w:rFonts w:hint="eastAsia" w:cs="Times New Roman"/>
          <w:sz w:val="24"/>
          <w:lang w:val="en-US" w:eastAsia="zh-CN"/>
        </w:rPr>
        <w:t>4</w:t>
      </w:r>
    </w:p>
    <w:p w14:paraId="0B7E7766">
      <w:pPr>
        <w:pStyle w:val="14"/>
        <w:adjustRightInd w:val="0"/>
        <w:snapToGrid w:val="0"/>
        <w:spacing w:line="440" w:lineRule="exact"/>
        <w:ind w:left="0" w:leftChars="0" w:firstLine="640" w:firstLineChars="200"/>
        <w:jc w:val="left"/>
        <w:rPr>
          <w:rFonts w:hint="default" w:ascii="Times New Roman" w:hAnsi="Times New Roman" w:cs="Times New Roman"/>
          <w:lang w:val="en-US"/>
        </w:rPr>
      </w:pPr>
      <w:r>
        <w:rPr>
          <w:rFonts w:hint="default" w:ascii="Times New Roman" w:hAnsi="Times New Roman" w:eastAsia="仿宋_GB2312" w:cs="Times New Roman"/>
          <w:color w:val="auto"/>
          <w:sz w:val="32"/>
          <w:szCs w:val="32"/>
          <w:highlight w:val="none"/>
        </w:rPr>
        <w:t>八、一般公共预算财政拨款基本支出决算</w:t>
      </w:r>
      <w:r>
        <w:rPr>
          <w:rFonts w:hint="default" w:ascii="Times New Roman" w:hAnsi="Times New Roman" w:eastAsia="仿宋_GB2312" w:cs="Times New Roman"/>
          <w:color w:val="auto"/>
          <w:sz w:val="32"/>
          <w:szCs w:val="32"/>
          <w:highlight w:val="none"/>
          <w:lang w:eastAsia="zh-CN"/>
        </w:rPr>
        <w:t>明细</w:t>
      </w:r>
      <w:r>
        <w:rPr>
          <w:rFonts w:hint="default" w:ascii="Times New Roman" w:hAnsi="Times New Roman" w:eastAsia="仿宋_GB2312" w:cs="Times New Roman"/>
          <w:color w:val="auto"/>
          <w:sz w:val="32"/>
          <w:szCs w:val="32"/>
          <w:highlight w:val="none"/>
        </w:rPr>
        <w:t>表</w:t>
      </w:r>
      <w:r>
        <w:rPr>
          <w:rFonts w:hint="default" w:ascii="Times New Roman" w:hAnsi="Times New Roman" w:cs="Times New Roman"/>
          <w:sz w:val="24"/>
        </w:rPr>
        <w:tab/>
      </w:r>
      <w:r>
        <w:rPr>
          <w:rFonts w:hint="eastAsia" w:ascii="Times New Roman" w:hAnsi="Times New Roman" w:cs="Times New Roman"/>
          <w:sz w:val="24"/>
          <w:lang w:val="en-US" w:eastAsia="zh-CN"/>
        </w:rPr>
        <w:t>1</w:t>
      </w:r>
      <w:r>
        <w:rPr>
          <w:rFonts w:hint="eastAsia" w:cs="Times New Roman"/>
          <w:sz w:val="24"/>
          <w:lang w:val="en-US" w:eastAsia="zh-CN"/>
        </w:rPr>
        <w:t>4</w:t>
      </w:r>
    </w:p>
    <w:p w14:paraId="7D97E261">
      <w:pPr>
        <w:pStyle w:val="14"/>
        <w:adjustRightInd w:val="0"/>
        <w:snapToGrid w:val="0"/>
        <w:spacing w:line="440" w:lineRule="exact"/>
        <w:ind w:left="0" w:leftChars="0" w:firstLine="640" w:firstLineChars="200"/>
        <w:jc w:val="left"/>
        <w:rPr>
          <w:rFonts w:hint="default" w:ascii="Times New Roman" w:hAnsi="Times New Roman" w:eastAsia="仿宋_GB2312" w:cs="Times New Roman"/>
          <w:color w:val="auto"/>
          <w:sz w:val="32"/>
          <w:szCs w:val="32"/>
          <w:highlight w:val="none"/>
        </w:rPr>
        <w:sectPr>
          <w:footerReference r:id="rId5" w:type="first"/>
          <w:headerReference r:id="rId3" w:type="default"/>
          <w:footerReference r:id="rId4" w:type="default"/>
          <w:pgSz w:w="11906" w:h="16838"/>
          <w:pgMar w:top="1440" w:right="1800" w:bottom="1440" w:left="1800" w:header="851" w:footer="992" w:gutter="0"/>
          <w:pgNumType w:fmt="numberInDash" w:start="1"/>
          <w:cols w:space="425" w:num="1"/>
          <w:docGrid w:type="lines" w:linePitch="312" w:charSpace="0"/>
        </w:sectPr>
      </w:pPr>
      <w:r>
        <w:rPr>
          <w:rFonts w:hint="default" w:ascii="Times New Roman" w:hAnsi="Times New Roman" w:eastAsia="仿宋_GB2312" w:cs="Times New Roman"/>
          <w:color w:val="auto"/>
          <w:sz w:val="32"/>
          <w:szCs w:val="32"/>
          <w:highlight w:val="none"/>
        </w:rPr>
        <w:t>九、一般公共预算财政拨款项目支出决算表</w:t>
      </w:r>
      <w:r>
        <w:rPr>
          <w:rFonts w:hint="default" w:ascii="Times New Roman" w:hAnsi="Times New Roman" w:cs="Times New Roman"/>
          <w:sz w:val="24"/>
        </w:rPr>
        <w:tab/>
      </w:r>
      <w:r>
        <w:rPr>
          <w:rFonts w:hint="default" w:ascii="Times New Roman" w:hAnsi="Times New Roman" w:cs="Times New Roman"/>
          <w:sz w:val="24"/>
          <w:lang w:val="en-US" w:eastAsia="zh-CN"/>
        </w:rPr>
        <w:t>1</w:t>
      </w:r>
      <w:r>
        <w:rPr>
          <w:rFonts w:hint="eastAsia" w:cs="Times New Roman"/>
          <w:sz w:val="24"/>
          <w:lang w:val="en-US" w:eastAsia="zh-CN"/>
        </w:rPr>
        <w:t>4</w:t>
      </w:r>
    </w:p>
    <w:p w14:paraId="0F74FFF3">
      <w:pPr>
        <w:pStyle w:val="14"/>
        <w:adjustRightInd w:val="0"/>
        <w:snapToGrid w:val="0"/>
        <w:spacing w:line="440" w:lineRule="exact"/>
        <w:ind w:left="0" w:leftChars="0" w:firstLine="640" w:firstLineChars="200"/>
        <w:jc w:val="left"/>
        <w:rPr>
          <w:rFonts w:hint="default" w:ascii="Times New Roman" w:hAnsi="Times New Roman" w:cs="Times New Roman"/>
          <w:sz w:val="24"/>
          <w:lang w:val="en-US" w:eastAsia="zh-CN"/>
        </w:rPr>
      </w:pPr>
      <w:r>
        <w:rPr>
          <w:rFonts w:hint="default" w:ascii="Times New Roman" w:hAnsi="Times New Roman" w:eastAsia="仿宋_GB2312" w:cs="Times New Roman"/>
          <w:color w:val="auto"/>
          <w:sz w:val="32"/>
          <w:szCs w:val="32"/>
          <w:highlight w:val="none"/>
        </w:rPr>
        <w:t>十、政府性基金预算财政拨款收入支出决算表</w:t>
      </w:r>
      <w:r>
        <w:rPr>
          <w:rFonts w:hint="default" w:ascii="Times New Roman" w:hAnsi="Times New Roman" w:eastAsia="仿宋_GB2312" w:cs="Times New Roman"/>
          <w:color w:val="auto"/>
          <w:sz w:val="32"/>
          <w:szCs w:val="32"/>
          <w:highlight w:val="none"/>
          <w:lang w:eastAsia="zh-CN"/>
        </w:rPr>
        <w:t>（此表无数据）</w:t>
      </w:r>
      <w:r>
        <w:rPr>
          <w:rFonts w:hint="default" w:ascii="Times New Roman" w:hAnsi="Times New Roman" w:cs="Times New Roman"/>
          <w:sz w:val="24"/>
        </w:rPr>
        <w:tab/>
      </w:r>
      <w:r>
        <w:rPr>
          <w:rFonts w:hint="default" w:ascii="Times New Roman" w:hAnsi="Times New Roman" w:cs="Times New Roman"/>
          <w:sz w:val="24"/>
          <w:lang w:val="en-US" w:eastAsia="zh-CN"/>
        </w:rPr>
        <w:t>1</w:t>
      </w:r>
      <w:r>
        <w:rPr>
          <w:rFonts w:hint="eastAsia" w:cs="Times New Roman"/>
          <w:sz w:val="24"/>
          <w:lang w:val="en-US" w:eastAsia="zh-CN"/>
        </w:rPr>
        <w:t>4</w:t>
      </w:r>
    </w:p>
    <w:p w14:paraId="41010A4C">
      <w:pPr>
        <w:pStyle w:val="14"/>
        <w:adjustRightInd w:val="0"/>
        <w:snapToGrid w:val="0"/>
        <w:spacing w:line="440" w:lineRule="exact"/>
        <w:ind w:left="0" w:leftChars="0" w:firstLine="640" w:firstLineChars="200"/>
        <w:jc w:val="left"/>
        <w:rPr>
          <w:rFonts w:hint="default" w:ascii="Times New Roman" w:hAnsi="Times New Roman" w:cs="Times New Roman"/>
          <w:lang w:val="en-US"/>
        </w:rPr>
      </w:pPr>
      <w:r>
        <w:rPr>
          <w:rFonts w:hint="default" w:ascii="Times New Roman" w:hAnsi="Times New Roman" w:eastAsia="仿宋_GB2312" w:cs="Times New Roman"/>
          <w:color w:val="auto"/>
          <w:sz w:val="32"/>
          <w:szCs w:val="32"/>
          <w:highlight w:val="none"/>
        </w:rPr>
        <w:t>十一、国有资本经营预算财政拨款收入支出决算</w:t>
      </w:r>
      <w:r>
        <w:rPr>
          <w:rFonts w:hint="default" w:ascii="Times New Roman" w:hAnsi="Times New Roman" w:eastAsia="仿宋_GB2312" w:cs="Times New Roman"/>
          <w:color w:val="auto"/>
          <w:sz w:val="32"/>
          <w:szCs w:val="32"/>
          <w:highlight w:val="none"/>
          <w:lang w:eastAsia="zh-CN"/>
        </w:rPr>
        <w:t>表（此表无数据）</w:t>
      </w:r>
      <w:r>
        <w:rPr>
          <w:rFonts w:hint="default" w:ascii="Times New Roman" w:hAnsi="Times New Roman" w:cs="Times New Roman"/>
          <w:sz w:val="24"/>
        </w:rPr>
        <w:tab/>
      </w:r>
      <w:r>
        <w:rPr>
          <w:rFonts w:hint="default" w:ascii="Times New Roman" w:hAnsi="Times New Roman" w:cs="Times New Roman"/>
          <w:sz w:val="24"/>
          <w:lang w:val="en-US" w:eastAsia="zh-CN"/>
        </w:rPr>
        <w:t>1</w:t>
      </w:r>
      <w:r>
        <w:rPr>
          <w:rFonts w:hint="eastAsia" w:cs="Times New Roman"/>
          <w:sz w:val="24"/>
          <w:lang w:val="en-US" w:eastAsia="zh-CN"/>
        </w:rPr>
        <w:t>4</w:t>
      </w:r>
    </w:p>
    <w:p w14:paraId="3160FC34">
      <w:pPr>
        <w:pStyle w:val="14"/>
        <w:adjustRightInd w:val="0"/>
        <w:snapToGrid w:val="0"/>
        <w:spacing w:line="440" w:lineRule="exact"/>
        <w:ind w:left="0" w:leftChars="0" w:firstLine="640" w:firstLineChars="200"/>
        <w:jc w:val="left"/>
        <w:rPr>
          <w:rFonts w:hint="default" w:ascii="Times New Roman" w:hAnsi="Times New Roman" w:cs="Times New Roman"/>
          <w:lang w:val="en-US"/>
        </w:rPr>
      </w:pPr>
      <w:r>
        <w:rPr>
          <w:rFonts w:hint="default" w:ascii="Times New Roman" w:hAnsi="Times New Roman" w:eastAsia="仿宋_GB2312" w:cs="Times New Roman"/>
          <w:color w:val="auto"/>
          <w:sz w:val="32"/>
          <w:szCs w:val="32"/>
          <w:highlight w:val="none"/>
        </w:rPr>
        <w:t>十二、</w:t>
      </w:r>
      <w:r>
        <w:rPr>
          <w:rFonts w:hint="default" w:ascii="Times New Roman" w:hAnsi="Times New Roman" w:eastAsia="仿宋_GB2312" w:cs="Times New Roman"/>
          <w:color w:val="auto"/>
          <w:sz w:val="32"/>
          <w:szCs w:val="32"/>
          <w:highlight w:val="none"/>
          <w:lang w:val="en-US" w:eastAsia="zh-CN"/>
        </w:rPr>
        <w:t>国有资本经营预算财政拨款支出决算表</w:t>
      </w:r>
      <w:bookmarkStart w:id="12" w:name="OLE_LINK1"/>
      <w:r>
        <w:rPr>
          <w:rFonts w:hint="default" w:ascii="Times New Roman" w:hAnsi="Times New Roman" w:eastAsia="仿宋_GB2312" w:cs="Times New Roman"/>
          <w:color w:val="auto"/>
          <w:sz w:val="32"/>
          <w:szCs w:val="32"/>
          <w:highlight w:val="none"/>
          <w:lang w:val="en-US" w:eastAsia="zh-CN"/>
        </w:rPr>
        <w:t>（此表无数据）</w:t>
      </w:r>
      <w:bookmarkEnd w:id="12"/>
      <w:r>
        <w:rPr>
          <w:rFonts w:hint="default" w:ascii="Times New Roman" w:hAnsi="Times New Roman" w:cs="Times New Roman"/>
          <w:sz w:val="24"/>
        </w:rPr>
        <w:tab/>
      </w:r>
      <w:r>
        <w:rPr>
          <w:rFonts w:hint="default" w:ascii="Times New Roman" w:hAnsi="Times New Roman" w:cs="Times New Roman"/>
          <w:sz w:val="24"/>
          <w:lang w:val="en-US" w:eastAsia="zh-CN"/>
        </w:rPr>
        <w:t>1</w:t>
      </w:r>
      <w:r>
        <w:rPr>
          <w:rFonts w:hint="eastAsia" w:cs="Times New Roman"/>
          <w:sz w:val="24"/>
          <w:lang w:val="en-US" w:eastAsia="zh-CN"/>
        </w:rPr>
        <w:t>4</w:t>
      </w:r>
    </w:p>
    <w:p w14:paraId="36EFB6DA">
      <w:pPr>
        <w:pStyle w:val="14"/>
        <w:adjustRightInd w:val="0"/>
        <w:snapToGrid w:val="0"/>
        <w:spacing w:line="440" w:lineRule="exact"/>
        <w:ind w:left="0" w:leftChars="0" w:firstLine="640" w:firstLineChars="200"/>
        <w:jc w:val="left"/>
        <w:rPr>
          <w:rFonts w:hint="default" w:ascii="Times New Roman" w:hAnsi="Times New Roman" w:cs="Times New Roman"/>
          <w:lang w:val="en-US"/>
        </w:rPr>
      </w:pPr>
      <w:r>
        <w:rPr>
          <w:rFonts w:hint="default" w:ascii="Times New Roman" w:hAnsi="Times New Roman" w:eastAsia="仿宋_GB2312" w:cs="Times New Roman"/>
          <w:color w:val="auto"/>
          <w:sz w:val="32"/>
          <w:szCs w:val="32"/>
          <w:highlight w:val="none"/>
        </w:rPr>
        <w:t>十三、财政拨款“三公”经费支出决算表</w:t>
      </w:r>
      <w:r>
        <w:rPr>
          <w:rFonts w:hint="default" w:ascii="Times New Roman" w:hAnsi="Times New Roman" w:cs="Times New Roman"/>
          <w:sz w:val="24"/>
        </w:rPr>
        <w:tab/>
      </w:r>
      <w:bookmarkStart w:id="68" w:name="_GoBack"/>
      <w:bookmarkEnd w:id="68"/>
      <w:r>
        <w:rPr>
          <w:rFonts w:hint="default" w:ascii="Times New Roman" w:hAnsi="Times New Roman" w:cs="Times New Roman"/>
          <w:sz w:val="24"/>
          <w:lang w:val="en-US" w:eastAsia="zh-CN"/>
        </w:rPr>
        <w:t>1</w:t>
      </w:r>
      <w:r>
        <w:rPr>
          <w:rFonts w:hint="eastAsia" w:cs="Times New Roman"/>
          <w:sz w:val="24"/>
          <w:lang w:val="en-US" w:eastAsia="zh-CN"/>
        </w:rPr>
        <w:t>4</w:t>
      </w:r>
    </w:p>
    <w:p w14:paraId="245431E9">
      <w:pPr>
        <w:pStyle w:val="3"/>
        <w:jc w:val="center"/>
        <w:rPr>
          <w:rFonts w:hint="default" w:ascii="Times New Roman" w:hAnsi="Times New Roman" w:eastAsia="方正小标宋简体" w:cs="Times New Roman"/>
          <w:b w:val="0"/>
          <w:color w:val="auto"/>
          <w:highlight w:val="none"/>
        </w:rPr>
        <w:sectPr>
          <w:footerReference r:id="rId6" w:type="default"/>
          <w:pgSz w:w="11906" w:h="16838"/>
          <w:pgMar w:top="1440" w:right="1800" w:bottom="1440" w:left="1800" w:header="851" w:footer="992" w:gutter="0"/>
          <w:pgNumType w:fmt="numberInDash" w:start="1"/>
          <w:cols w:space="425" w:num="1"/>
          <w:docGrid w:type="lines" w:linePitch="312" w:charSpace="0"/>
        </w:sectPr>
      </w:pPr>
      <w:bookmarkStart w:id="13" w:name="_Toc15396599"/>
      <w:bookmarkStart w:id="14" w:name="_Toc15377196"/>
    </w:p>
    <w:p w14:paraId="434DE8A7">
      <w:pPr>
        <w:pStyle w:val="3"/>
        <w:jc w:val="center"/>
        <w:rPr>
          <w:rStyle w:val="28"/>
          <w:rFonts w:hint="default" w:ascii="Times New Roman" w:hAnsi="Times New Roman" w:eastAsia="方正小标宋简体" w:cs="Times New Roman"/>
          <w:b/>
          <w:bCs w:val="0"/>
          <w:color w:val="auto"/>
          <w:highlight w:val="none"/>
        </w:rPr>
      </w:pPr>
      <w:r>
        <w:rPr>
          <w:rFonts w:hint="default" w:ascii="Times New Roman" w:hAnsi="Times New Roman" w:eastAsia="方正小标宋简体" w:cs="Times New Roman"/>
          <w:b w:val="0"/>
          <w:color w:val="auto"/>
          <w:highlight w:val="none"/>
        </w:rPr>
        <w:t>第一部分</w:t>
      </w:r>
      <w:r>
        <w:rPr>
          <w:rFonts w:hint="default" w:ascii="Times New Roman" w:hAnsi="Times New Roman" w:eastAsia="方正小标宋简体" w:cs="Times New Roman"/>
          <w:b w:val="0"/>
          <w:color w:val="auto"/>
          <w:highlight w:val="none"/>
          <w:lang w:val="en-US" w:eastAsia="zh-CN"/>
        </w:rPr>
        <w:t xml:space="preserve"> </w:t>
      </w:r>
      <w:r>
        <w:rPr>
          <w:rFonts w:hint="default" w:ascii="Times New Roman" w:hAnsi="Times New Roman" w:eastAsia="方正小标宋简体" w:cs="Times New Roman"/>
          <w:b w:val="0"/>
          <w:color w:val="auto"/>
          <w:highlight w:val="none"/>
        </w:rPr>
        <w:t xml:space="preserve"> </w:t>
      </w:r>
      <w:r>
        <w:rPr>
          <w:rFonts w:hint="default" w:ascii="Times New Roman" w:hAnsi="Times New Roman" w:eastAsia="方正小标宋简体" w:cs="Times New Roman"/>
          <w:b w:val="0"/>
          <w:color w:val="auto"/>
          <w:highlight w:val="none"/>
          <w:lang w:val="en-US" w:eastAsia="zh-CN"/>
        </w:rPr>
        <w:t>单位</w:t>
      </w:r>
      <w:r>
        <w:rPr>
          <w:rStyle w:val="28"/>
          <w:rFonts w:hint="default" w:ascii="Times New Roman" w:hAnsi="Times New Roman" w:eastAsia="方正小标宋简体" w:cs="Times New Roman"/>
          <w:b w:val="0"/>
          <w:bCs w:val="0"/>
          <w:color w:val="auto"/>
          <w:highlight w:val="none"/>
        </w:rPr>
        <w:t>概况</w:t>
      </w:r>
      <w:bookmarkEnd w:id="13"/>
      <w:bookmarkEnd w:id="14"/>
    </w:p>
    <w:p w14:paraId="2943EBE6">
      <w:pPr>
        <w:widowControl/>
        <w:jc w:val="left"/>
        <w:rPr>
          <w:rFonts w:hint="default" w:ascii="Times New Roman" w:hAnsi="Times New Roman" w:eastAsia="黑体" w:cs="Times New Roman"/>
          <w:color w:val="auto"/>
          <w:sz w:val="32"/>
          <w:szCs w:val="32"/>
          <w:highlight w:val="none"/>
        </w:rPr>
      </w:pPr>
    </w:p>
    <w:p w14:paraId="64827223">
      <w:pPr>
        <w:pStyle w:val="4"/>
        <w:numPr>
          <w:ilvl w:val="0"/>
          <w:numId w:val="0"/>
        </w:numPr>
        <w:ind w:firstLine="640" w:firstLineChars="200"/>
        <w:rPr>
          <w:rFonts w:hint="default" w:ascii="Times New Roman" w:hAnsi="Times New Roman" w:eastAsia="黑体" w:cs="Times New Roman"/>
          <w:b w:val="0"/>
          <w:color w:val="auto"/>
          <w:highlight w:val="none"/>
          <w:lang w:eastAsia="zh-CN"/>
        </w:rPr>
      </w:pPr>
      <w:r>
        <w:rPr>
          <w:rFonts w:hint="default" w:ascii="Times New Roman" w:hAnsi="Times New Roman" w:eastAsia="黑体" w:cs="Times New Roman"/>
          <w:b w:val="0"/>
          <w:color w:val="auto"/>
          <w:highlight w:val="none"/>
          <w:lang w:val="en-US" w:eastAsia="zh-CN"/>
        </w:rPr>
        <w:t>一、单位</w:t>
      </w:r>
      <w:r>
        <w:rPr>
          <w:rFonts w:hint="default" w:ascii="Times New Roman" w:hAnsi="Times New Roman" w:eastAsia="黑体" w:cs="Times New Roman"/>
          <w:b w:val="0"/>
          <w:color w:val="auto"/>
          <w:highlight w:val="none"/>
          <w:lang w:eastAsia="zh-CN"/>
        </w:rPr>
        <w:t>职责</w:t>
      </w:r>
    </w:p>
    <w:p w14:paraId="1DFEBCA6">
      <w:pPr>
        <w:ind w:firstLine="800" w:firstLineChars="250"/>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我单位主要承担我市由国家人社部、省人社厅和有关部（厅）委推行的各类职业（执业）资格考试、专业技术资格考试、公务员录用考试</w:t>
      </w:r>
      <w:r>
        <w:rPr>
          <w:rFonts w:hint="default" w:ascii="Times New Roman" w:hAnsi="Times New Roman" w:eastAsia="仿宋_GB2312" w:cs="Times New Roman"/>
          <w:color w:val="auto"/>
          <w:sz w:val="32"/>
          <w:szCs w:val="32"/>
          <w:highlight w:val="none"/>
          <w:lang w:val="en-US" w:eastAsia="zh-CN"/>
        </w:rPr>
        <w:t>等</w:t>
      </w:r>
      <w:r>
        <w:rPr>
          <w:rFonts w:hint="default" w:ascii="Times New Roman" w:hAnsi="Times New Roman" w:eastAsia="仿宋_GB2312" w:cs="Times New Roman"/>
          <w:color w:val="auto"/>
          <w:sz w:val="32"/>
          <w:szCs w:val="32"/>
          <w:highlight w:val="none"/>
          <w:lang w:eastAsia="zh-CN"/>
        </w:rPr>
        <w:t>招聘考试和人才测评等工作。</w:t>
      </w:r>
    </w:p>
    <w:p w14:paraId="77D8A9AD">
      <w:pPr>
        <w:pStyle w:val="4"/>
        <w:ind w:firstLine="640" w:firstLineChars="200"/>
        <w:rPr>
          <w:rStyle w:val="29"/>
          <w:rFonts w:hint="default" w:ascii="Times New Roman" w:hAnsi="Times New Roman" w:cs="Times New Roman"/>
          <w:b w:val="0"/>
          <w:bCs w:val="0"/>
          <w:color w:val="auto"/>
          <w:highlight w:val="none"/>
        </w:rPr>
      </w:pPr>
      <w:bookmarkStart w:id="15" w:name="_Toc15377200"/>
      <w:bookmarkStart w:id="16" w:name="_Toc15396601"/>
      <w:r>
        <w:rPr>
          <w:rFonts w:hint="default" w:ascii="Times New Roman" w:hAnsi="Times New Roman" w:eastAsia="黑体" w:cs="Times New Roman"/>
          <w:b w:val="0"/>
          <w:color w:val="auto"/>
          <w:highlight w:val="none"/>
        </w:rPr>
        <w:t>二、机</w:t>
      </w:r>
      <w:r>
        <w:rPr>
          <w:rStyle w:val="29"/>
          <w:rFonts w:hint="default" w:ascii="Times New Roman" w:hAnsi="Times New Roman" w:eastAsia="黑体" w:cs="Times New Roman"/>
          <w:b w:val="0"/>
          <w:bCs w:val="0"/>
          <w:color w:val="auto"/>
          <w:highlight w:val="none"/>
        </w:rPr>
        <w:t>构设置</w:t>
      </w:r>
      <w:bookmarkEnd w:id="15"/>
      <w:bookmarkEnd w:id="16"/>
    </w:p>
    <w:p w14:paraId="6403CC4C">
      <w:pPr>
        <w:ind w:firstLine="800" w:firstLineChars="250"/>
        <w:rPr>
          <w:rFonts w:hint="default" w:ascii="Times New Roman" w:hAnsi="Times New Roman" w:eastAsia="仿宋_GB2312" w:cs="Times New Roman"/>
          <w:color w:val="auto"/>
          <w:sz w:val="32"/>
          <w:szCs w:val="32"/>
          <w:highlight w:val="none"/>
          <w:lang w:val="en-US" w:eastAsia="zh-CN"/>
        </w:rPr>
      </w:pPr>
      <w:bookmarkStart w:id="17" w:name="_Toc15396602"/>
      <w:bookmarkStart w:id="18" w:name="_Toc15377204"/>
      <w:r>
        <w:rPr>
          <w:rFonts w:hint="default" w:ascii="Times New Roman" w:hAnsi="Times New Roman" w:eastAsia="仿宋_GB2312" w:cs="Times New Roman"/>
          <w:color w:val="auto"/>
          <w:sz w:val="32"/>
          <w:szCs w:val="32"/>
          <w:highlight w:val="none"/>
          <w:lang w:eastAsia="zh-CN"/>
        </w:rPr>
        <w:t>我单位为攀枝花市人力资源和社会保障局下属事业单位，单位内设综合部和考务部两个部门。</w:t>
      </w:r>
    </w:p>
    <w:p w14:paraId="5004DA92">
      <w:pPr>
        <w:pStyle w:val="3"/>
        <w:jc w:val="center"/>
        <w:rPr>
          <w:rFonts w:hint="default" w:ascii="Times New Roman" w:hAnsi="Times New Roman" w:eastAsia="方正小标宋简体" w:cs="Times New Roman"/>
          <w:b w:val="0"/>
          <w:color w:val="auto"/>
          <w:highlight w:val="none"/>
        </w:rPr>
      </w:pPr>
    </w:p>
    <w:p w14:paraId="6AA8F0FC">
      <w:pPr>
        <w:pStyle w:val="3"/>
        <w:jc w:val="center"/>
        <w:rPr>
          <w:rFonts w:hint="default" w:ascii="Times New Roman" w:hAnsi="Times New Roman" w:eastAsia="方正小标宋简体" w:cs="Times New Roman"/>
          <w:b w:val="0"/>
          <w:color w:val="auto"/>
          <w:highlight w:val="none"/>
        </w:rPr>
      </w:pPr>
    </w:p>
    <w:p w14:paraId="16DB5D0E">
      <w:pPr>
        <w:pStyle w:val="3"/>
        <w:jc w:val="center"/>
        <w:rPr>
          <w:rFonts w:hint="default" w:ascii="Times New Roman" w:hAnsi="Times New Roman" w:eastAsia="方正小标宋简体" w:cs="Times New Roman"/>
          <w:b w:val="0"/>
          <w:color w:val="auto"/>
          <w:highlight w:val="none"/>
        </w:rPr>
      </w:pPr>
    </w:p>
    <w:p w14:paraId="4C157765">
      <w:pPr>
        <w:pStyle w:val="3"/>
        <w:jc w:val="center"/>
        <w:rPr>
          <w:rFonts w:hint="default" w:ascii="Times New Roman" w:hAnsi="Times New Roman" w:eastAsia="方正小标宋简体" w:cs="Times New Roman"/>
          <w:b w:val="0"/>
          <w:color w:val="auto"/>
          <w:highlight w:val="none"/>
        </w:rPr>
      </w:pPr>
    </w:p>
    <w:p w14:paraId="50049BC7">
      <w:pPr>
        <w:rPr>
          <w:rFonts w:hint="default" w:ascii="Times New Roman" w:hAnsi="Times New Roman" w:cs="Times New Roman"/>
        </w:rPr>
      </w:pPr>
    </w:p>
    <w:p w14:paraId="4AF41DB8">
      <w:pPr>
        <w:pStyle w:val="3"/>
        <w:jc w:val="center"/>
        <w:rPr>
          <w:rFonts w:hint="default" w:ascii="Times New Roman" w:hAnsi="Times New Roman" w:eastAsia="方正小标宋简体" w:cs="Times New Roman"/>
          <w:b w:val="0"/>
          <w:color w:val="auto"/>
          <w:highlight w:val="none"/>
        </w:rPr>
      </w:pPr>
      <w:r>
        <w:rPr>
          <w:rFonts w:hint="default" w:ascii="Times New Roman" w:hAnsi="Times New Roman" w:eastAsia="方正小标宋简体" w:cs="Times New Roman"/>
          <w:b w:val="0"/>
          <w:color w:val="auto"/>
          <w:highlight w:val="none"/>
        </w:rPr>
        <w:t>第二部分</w:t>
      </w:r>
      <w:r>
        <w:rPr>
          <w:rFonts w:hint="default" w:ascii="Times New Roman" w:hAnsi="Times New Roman" w:eastAsia="方正小标宋简体" w:cs="Times New Roman"/>
          <w:b w:val="0"/>
          <w:color w:val="auto"/>
          <w:highlight w:val="none"/>
          <w:lang w:val="en-US" w:eastAsia="zh-CN"/>
        </w:rPr>
        <w:t xml:space="preserve"> </w:t>
      </w:r>
      <w:r>
        <w:rPr>
          <w:rFonts w:hint="default" w:ascii="Times New Roman" w:hAnsi="Times New Roman" w:eastAsia="方正小标宋简体" w:cs="Times New Roman"/>
          <w:b w:val="0"/>
          <w:color w:val="auto"/>
          <w:highlight w:val="none"/>
        </w:rPr>
        <w:t xml:space="preserve"> </w:t>
      </w:r>
      <w:r>
        <w:rPr>
          <w:rFonts w:hint="default" w:ascii="Times New Roman" w:hAnsi="Times New Roman" w:eastAsia="方正小标宋简体" w:cs="Times New Roman"/>
          <w:b w:val="0"/>
          <w:color w:val="auto"/>
          <w:highlight w:val="none"/>
          <w:lang w:val="en-US" w:eastAsia="zh-CN"/>
        </w:rPr>
        <w:t>2024年度</w:t>
      </w:r>
      <w:r>
        <w:rPr>
          <w:rFonts w:hint="default" w:ascii="Times New Roman" w:hAnsi="Times New Roman" w:eastAsia="方正小标宋简体" w:cs="Times New Roman"/>
          <w:b w:val="0"/>
          <w:color w:val="auto"/>
          <w:highlight w:val="none"/>
        </w:rPr>
        <w:t>部门决算情况说明</w:t>
      </w:r>
      <w:bookmarkEnd w:id="17"/>
      <w:bookmarkEnd w:id="18"/>
    </w:p>
    <w:p w14:paraId="7FB63203">
      <w:pPr>
        <w:rPr>
          <w:rFonts w:hint="default" w:ascii="Times New Roman" w:hAnsi="Times New Roman" w:cs="Times New Roman"/>
          <w:color w:val="auto"/>
          <w:highlight w:val="none"/>
        </w:rPr>
      </w:pPr>
    </w:p>
    <w:p w14:paraId="3968CB40">
      <w:pPr>
        <w:pStyle w:val="27"/>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Style w:val="29"/>
          <w:rFonts w:hint="default" w:ascii="Times New Roman" w:hAnsi="Times New Roman" w:eastAsia="黑体" w:cs="Times New Roman"/>
          <w:b w:val="0"/>
          <w:color w:val="auto"/>
          <w:highlight w:val="none"/>
        </w:rPr>
      </w:pPr>
      <w:bookmarkStart w:id="19" w:name="_Toc15377205"/>
      <w:bookmarkStart w:id="20" w:name="_Toc15396603"/>
      <w:r>
        <w:rPr>
          <w:rFonts w:hint="default" w:ascii="Times New Roman" w:hAnsi="Times New Roman" w:eastAsia="黑体" w:cs="Times New Roman"/>
          <w:color w:val="auto"/>
          <w:sz w:val="32"/>
          <w:szCs w:val="32"/>
          <w:highlight w:val="none"/>
          <w:lang w:eastAsia="zh-CN"/>
        </w:rPr>
        <w:t>一、</w:t>
      </w:r>
      <w:r>
        <w:rPr>
          <w:rFonts w:hint="default" w:ascii="Times New Roman" w:hAnsi="Times New Roman" w:eastAsia="黑体" w:cs="Times New Roman"/>
          <w:color w:val="auto"/>
          <w:sz w:val="32"/>
          <w:szCs w:val="32"/>
          <w:highlight w:val="none"/>
        </w:rPr>
        <w:t>收</w:t>
      </w:r>
      <w:r>
        <w:rPr>
          <w:rStyle w:val="29"/>
          <w:rFonts w:hint="default" w:ascii="Times New Roman" w:hAnsi="Times New Roman" w:eastAsia="黑体" w:cs="Times New Roman"/>
          <w:b w:val="0"/>
          <w:color w:val="auto"/>
          <w:highlight w:val="none"/>
        </w:rPr>
        <w:t>入支出决算总体情况说明</w:t>
      </w:r>
      <w:bookmarkEnd w:id="19"/>
      <w:bookmarkEnd w:id="20"/>
    </w:p>
    <w:p w14:paraId="62141BC1">
      <w:pPr>
        <w:spacing w:line="60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_GB2312" w:cs="Times New Roman"/>
          <w:color w:val="auto"/>
          <w:sz w:val="32"/>
          <w:szCs w:val="32"/>
          <w:highlight w:val="none"/>
          <w:lang w:eastAsia="zh-CN"/>
        </w:rPr>
        <w:t>2024年度收入</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eastAsia="zh-CN"/>
        </w:rPr>
        <w:t>支出</w:t>
      </w:r>
      <w:r>
        <w:rPr>
          <w:rFonts w:hint="default" w:ascii="Times New Roman" w:hAnsi="Times New Roman" w:eastAsia="仿宋_GB2312" w:cs="Times New Roman"/>
          <w:color w:val="auto"/>
          <w:sz w:val="32"/>
          <w:szCs w:val="32"/>
          <w:highlight w:val="none"/>
        </w:rPr>
        <w:t>总计</w:t>
      </w:r>
      <w:r>
        <w:rPr>
          <w:rFonts w:hint="default" w:ascii="Times New Roman" w:hAnsi="Times New Roman" w:eastAsia="仿宋_GB2312" w:cs="Times New Roman"/>
          <w:color w:val="auto"/>
          <w:sz w:val="32"/>
          <w:szCs w:val="32"/>
          <w:highlight w:val="none"/>
          <w:lang w:eastAsia="zh-CN"/>
        </w:rPr>
        <w:t>均为</w:t>
      </w:r>
      <w:r>
        <w:rPr>
          <w:rFonts w:hint="default" w:ascii="Times New Roman" w:hAnsi="Times New Roman" w:eastAsia="仿宋_GB2312" w:cs="Times New Roman"/>
          <w:color w:val="auto"/>
          <w:sz w:val="32"/>
          <w:szCs w:val="32"/>
          <w:highlight w:val="none"/>
          <w:lang w:val="en-US" w:eastAsia="zh-CN"/>
        </w:rPr>
        <w:t>658.31</w:t>
      </w:r>
      <w:r>
        <w:rPr>
          <w:rFonts w:hint="default" w:ascii="Times New Roman" w:hAnsi="Times New Roman" w:eastAsia="仿宋_GB2312" w:cs="Times New Roman"/>
          <w:color w:val="auto"/>
          <w:sz w:val="32"/>
          <w:szCs w:val="32"/>
          <w:highlight w:val="none"/>
        </w:rPr>
        <w:t>万元。与</w:t>
      </w:r>
      <w:r>
        <w:rPr>
          <w:rFonts w:hint="default" w:ascii="Times New Roman" w:hAnsi="Times New Roman" w:eastAsia="仿宋_GB2312" w:cs="Times New Roman"/>
          <w:color w:val="auto"/>
          <w:sz w:val="32"/>
          <w:szCs w:val="32"/>
          <w:highlight w:val="none"/>
          <w:lang w:eastAsia="zh-CN"/>
        </w:rPr>
        <w:t>202</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年</w:t>
      </w:r>
      <w:r>
        <w:rPr>
          <w:rFonts w:hint="default" w:ascii="Times New Roman" w:hAnsi="Times New Roman" w:eastAsia="仿宋_GB2312" w:cs="Times New Roman"/>
          <w:color w:val="auto"/>
          <w:sz w:val="32"/>
          <w:szCs w:val="32"/>
          <w:highlight w:val="none"/>
          <w:lang w:eastAsia="zh-CN"/>
        </w:rPr>
        <w:t>度</w:t>
      </w:r>
      <w:r>
        <w:rPr>
          <w:rFonts w:hint="default" w:ascii="Times New Roman" w:hAnsi="Times New Roman" w:eastAsia="仿宋_GB2312" w:cs="Times New Roman"/>
          <w:color w:val="auto"/>
          <w:sz w:val="32"/>
          <w:szCs w:val="32"/>
          <w:highlight w:val="none"/>
        </w:rPr>
        <w:t>相比，</w:t>
      </w:r>
      <w:r>
        <w:rPr>
          <w:rFonts w:hint="default" w:ascii="Times New Roman" w:hAnsi="Times New Roman" w:eastAsia="仿宋_GB2312" w:cs="Times New Roman"/>
          <w:color w:val="auto"/>
          <w:sz w:val="32"/>
          <w:szCs w:val="32"/>
          <w:highlight w:val="none"/>
          <w:lang w:eastAsia="zh-CN"/>
        </w:rPr>
        <w:t>收入</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eastAsia="zh-CN"/>
        </w:rPr>
        <w:t>支出</w:t>
      </w:r>
      <w:r>
        <w:rPr>
          <w:rFonts w:hint="default" w:ascii="Times New Roman" w:hAnsi="Times New Roman" w:eastAsia="仿宋_GB2312" w:cs="Times New Roman"/>
          <w:color w:val="auto"/>
          <w:sz w:val="32"/>
          <w:szCs w:val="32"/>
          <w:highlight w:val="none"/>
        </w:rPr>
        <w:t>总计各增加</w:t>
      </w:r>
      <w:r>
        <w:rPr>
          <w:rFonts w:hint="default" w:ascii="Times New Roman" w:hAnsi="Times New Roman" w:eastAsia="仿宋_GB2312" w:cs="Times New Roman"/>
          <w:color w:val="auto"/>
          <w:sz w:val="32"/>
          <w:szCs w:val="32"/>
          <w:highlight w:val="none"/>
          <w:lang w:val="en-US" w:eastAsia="zh-CN"/>
        </w:rPr>
        <w:t>80.08</w:t>
      </w:r>
      <w:r>
        <w:rPr>
          <w:rFonts w:hint="default" w:ascii="Times New Roman" w:hAnsi="Times New Roman" w:eastAsia="仿宋_GB2312" w:cs="Times New Roman"/>
          <w:color w:val="auto"/>
          <w:sz w:val="32"/>
          <w:szCs w:val="32"/>
          <w:highlight w:val="none"/>
        </w:rPr>
        <w:t>万元，增长</w:t>
      </w:r>
      <w:r>
        <w:rPr>
          <w:rFonts w:hint="default" w:ascii="Times New Roman" w:hAnsi="Times New Roman" w:eastAsia="仿宋_GB2312" w:cs="Times New Roman"/>
          <w:color w:val="auto"/>
          <w:sz w:val="32"/>
          <w:szCs w:val="32"/>
          <w:highlight w:val="none"/>
          <w:lang w:val="en-US" w:eastAsia="zh-CN"/>
        </w:rPr>
        <w:t>13.85</w:t>
      </w:r>
      <w:r>
        <w:rPr>
          <w:rFonts w:hint="default" w:ascii="Times New Roman" w:hAnsi="Times New Roman" w:eastAsia="仿宋_GB2312" w:cs="Times New Roman"/>
          <w:color w:val="auto"/>
          <w:sz w:val="32"/>
          <w:szCs w:val="32"/>
          <w:highlight w:val="none"/>
        </w:rPr>
        <w:t>%。主要变动原因</w:t>
      </w:r>
      <w:r>
        <w:rPr>
          <w:rFonts w:hint="default" w:ascii="Times New Roman" w:hAnsi="Times New Roman" w:eastAsia="仿宋_GB2312" w:cs="Times New Roman"/>
          <w:color w:val="auto"/>
          <w:sz w:val="32"/>
          <w:szCs w:val="32"/>
          <w:highlight w:val="none"/>
          <w:lang w:val="en-US" w:eastAsia="zh-CN"/>
        </w:rPr>
        <w:t>是</w:t>
      </w:r>
      <w:r>
        <w:rPr>
          <w:rFonts w:hint="default" w:ascii="Times New Roman" w:hAnsi="Times New Roman" w:eastAsia="仿宋_GB2312" w:cs="Times New Roman"/>
          <w:sz w:val="32"/>
          <w:szCs w:val="32"/>
        </w:rPr>
        <w:t>一般公共预算财政</w:t>
      </w:r>
      <w:r>
        <w:rPr>
          <w:rFonts w:hint="default" w:ascii="Times New Roman" w:hAnsi="Times New Roman" w:eastAsia="仿宋_GB2312" w:cs="Times New Roman"/>
          <w:color w:val="auto"/>
          <w:sz w:val="32"/>
          <w:szCs w:val="32"/>
          <w:highlight w:val="none"/>
          <w:lang w:eastAsia="zh-CN"/>
        </w:rPr>
        <w:t>拨款</w:t>
      </w:r>
      <w:r>
        <w:rPr>
          <w:rFonts w:hint="default" w:ascii="Times New Roman" w:hAnsi="Times New Roman" w:eastAsia="仿宋_GB2312" w:cs="Times New Roman"/>
          <w:sz w:val="32"/>
          <w:szCs w:val="32"/>
        </w:rPr>
        <w:t>收入</w:t>
      </w:r>
      <w:r>
        <w:rPr>
          <w:rFonts w:hint="default" w:ascii="Times New Roman" w:hAnsi="Times New Roman" w:eastAsia="仿宋_GB2312" w:cs="Times New Roman"/>
          <w:sz w:val="32"/>
          <w:szCs w:val="32"/>
          <w:lang w:val="en-US" w:eastAsia="zh-CN"/>
        </w:rPr>
        <w:t>增加及</w:t>
      </w:r>
      <w:r>
        <w:rPr>
          <w:rFonts w:hint="default" w:ascii="Times New Roman" w:hAnsi="Times New Roman" w:eastAsia="仿宋" w:cs="Times New Roman"/>
          <w:sz w:val="32"/>
          <w:szCs w:val="32"/>
        </w:rPr>
        <w:t>省</w:t>
      </w:r>
      <w:r>
        <w:rPr>
          <w:rFonts w:hint="default" w:ascii="Times New Roman" w:hAnsi="Times New Roman" w:eastAsia="仿宋" w:cs="Times New Roman"/>
          <w:sz w:val="32"/>
          <w:szCs w:val="32"/>
          <w:lang w:val="en-US" w:eastAsia="zh-CN"/>
        </w:rPr>
        <w:t>中心</w:t>
      </w:r>
      <w:r>
        <w:rPr>
          <w:rFonts w:hint="default" w:ascii="Times New Roman" w:hAnsi="Times New Roman" w:eastAsia="仿宋" w:cs="Times New Roman"/>
          <w:sz w:val="32"/>
          <w:szCs w:val="32"/>
        </w:rPr>
        <w:t>核拨考点工作经费</w:t>
      </w:r>
      <w:r>
        <w:rPr>
          <w:rFonts w:hint="default" w:ascii="Times New Roman" w:hAnsi="Times New Roman" w:eastAsia="仿宋" w:cs="Times New Roman"/>
          <w:sz w:val="32"/>
          <w:szCs w:val="32"/>
          <w:lang w:val="en-US" w:eastAsia="zh-CN"/>
        </w:rPr>
        <w:t>增加致收入增加，支出增加</w:t>
      </w:r>
      <w:r>
        <w:rPr>
          <w:rFonts w:hint="default" w:ascii="Times New Roman" w:hAnsi="Times New Roman" w:eastAsia="仿宋" w:cs="Times New Roman"/>
          <w:sz w:val="32"/>
          <w:szCs w:val="32"/>
        </w:rPr>
        <w:t>。</w:t>
      </w:r>
    </w:p>
    <w:p w14:paraId="3E0DBFF4">
      <w:pPr>
        <w:pStyle w:val="27"/>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20" w:firstLineChars="200"/>
        <w:textAlignment w:val="auto"/>
        <w:outlineLvl w:val="1"/>
        <w:rPr>
          <w:rFonts w:hint="default" w:ascii="Times New Roman" w:hAnsi="Times New Roman" w:eastAsia="仿宋_GB2312" w:cs="Times New Roman"/>
          <w:color w:val="auto"/>
          <w:sz w:val="32"/>
          <w:szCs w:val="32"/>
          <w:highlight w:val="none"/>
          <w:lang w:eastAsia="zh-CN"/>
        </w:rPr>
      </w:pPr>
      <w:r>
        <w:rPr>
          <w:rFonts w:hint="default" w:ascii="Times New Roman" w:hAnsi="Times New Roman" w:cs="Times New Roman"/>
        </w:rPr>
        <w:drawing>
          <wp:anchor distT="0" distB="0" distL="114300" distR="114300" simplePos="0" relativeHeight="251659264" behindDoc="0" locked="0" layoutInCell="1" allowOverlap="1">
            <wp:simplePos x="0" y="0"/>
            <wp:positionH relativeFrom="column">
              <wp:posOffset>517525</wp:posOffset>
            </wp:positionH>
            <wp:positionV relativeFrom="paragraph">
              <wp:posOffset>262890</wp:posOffset>
            </wp:positionV>
            <wp:extent cx="3743325" cy="2690495"/>
            <wp:effectExtent l="4445" t="5080" r="5080" b="9525"/>
            <wp:wrapTopAndBottom/>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Pr>
          <w:rFonts w:hint="default" w:ascii="Times New Roman" w:hAnsi="Times New Roman" w:eastAsia="仿宋_GB2312" w:cs="Times New Roman"/>
          <w:color w:val="auto"/>
          <w:sz w:val="32"/>
          <w:szCs w:val="32"/>
          <w:highlight w:val="none"/>
        </w:rPr>
        <w:t>（图1：</w:t>
      </w:r>
      <w:r>
        <w:rPr>
          <w:rFonts w:hint="default" w:ascii="Times New Roman" w:hAnsi="Times New Roman" w:eastAsia="仿宋_GB2312" w:cs="Times New Roman"/>
          <w:color w:val="auto"/>
          <w:sz w:val="32"/>
          <w:szCs w:val="32"/>
          <w:highlight w:val="none"/>
          <w:lang w:eastAsia="zh-CN"/>
        </w:rPr>
        <w:t>收入</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eastAsia="zh-CN"/>
        </w:rPr>
        <w:t>支出</w:t>
      </w:r>
      <w:r>
        <w:rPr>
          <w:rFonts w:hint="default" w:ascii="Times New Roman" w:hAnsi="Times New Roman" w:eastAsia="仿宋_GB2312" w:cs="Times New Roman"/>
          <w:color w:val="auto"/>
          <w:sz w:val="32"/>
          <w:szCs w:val="32"/>
          <w:highlight w:val="none"/>
        </w:rPr>
        <w:t>决算总计变动情况图）</w:t>
      </w:r>
      <w:r>
        <w:rPr>
          <w:rFonts w:hint="default" w:ascii="Times New Roman" w:hAnsi="Times New Roman" w:eastAsia="仿宋_GB2312" w:cs="Times New Roman"/>
          <w:color w:val="auto"/>
          <w:sz w:val="32"/>
          <w:szCs w:val="32"/>
          <w:highlight w:val="none"/>
          <w:lang w:val="en-US" w:eastAsia="zh-CN"/>
        </w:rPr>
        <w:t xml:space="preserve"> </w:t>
      </w:r>
    </w:p>
    <w:p w14:paraId="76F6CD0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color w:val="auto"/>
          <w:sz w:val="32"/>
          <w:szCs w:val="32"/>
          <w:highlight w:val="none"/>
        </w:rPr>
      </w:pPr>
    </w:p>
    <w:p w14:paraId="2A4378B7">
      <w:pPr>
        <w:pStyle w:val="27"/>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Fonts w:hint="default" w:ascii="Times New Roman" w:hAnsi="Times New Roman" w:eastAsia="黑体" w:cs="Times New Roman"/>
          <w:color w:val="auto"/>
          <w:sz w:val="32"/>
          <w:szCs w:val="32"/>
          <w:highlight w:val="none"/>
          <w:lang w:eastAsia="zh-CN"/>
        </w:rPr>
      </w:pPr>
      <w:bookmarkStart w:id="21" w:name="_Toc15377206"/>
      <w:bookmarkStart w:id="22" w:name="_Toc15396604"/>
      <w:r>
        <w:rPr>
          <w:rFonts w:hint="default" w:ascii="Times New Roman" w:hAnsi="Times New Roman" w:eastAsia="黑体" w:cs="Times New Roman"/>
          <w:color w:val="auto"/>
          <w:sz w:val="32"/>
          <w:szCs w:val="32"/>
          <w:highlight w:val="none"/>
          <w:lang w:eastAsia="zh-CN"/>
        </w:rPr>
        <w:t>二、收入决算情况说明</w:t>
      </w:r>
      <w:bookmarkEnd w:id="21"/>
      <w:bookmarkEnd w:id="22"/>
    </w:p>
    <w:p w14:paraId="472D31C0">
      <w:pPr>
        <w:pStyle w:val="27"/>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outlineLvl w:val="1"/>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2024年度本年收入合计568.74万元，其中：一般公共预算财政拨款收入371.56万元，占65.33%；其他收入197.18万元，占34.67%。</w:t>
      </w:r>
    </w:p>
    <w:p w14:paraId="35F583C0">
      <w:pPr>
        <w:pStyle w:val="27"/>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outlineLvl w:val="1"/>
        <w:rPr>
          <w:rFonts w:hint="default" w:ascii="Times New Roman" w:hAnsi="Times New Roman" w:eastAsia="仿宋_GB2312" w:cs="Times New Roman"/>
          <w:color w:val="auto"/>
          <w:sz w:val="32"/>
          <w:szCs w:val="32"/>
          <w:highlight w:val="none"/>
          <w:lang w:eastAsia="zh-CN"/>
        </w:rPr>
      </w:pPr>
    </w:p>
    <w:p w14:paraId="0B18B2CC">
      <w:pPr>
        <w:pStyle w:val="27"/>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20" w:firstLineChars="200"/>
        <w:jc w:val="left"/>
        <w:textAlignment w:val="auto"/>
        <w:outlineLvl w:val="1"/>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cs="Times New Roman"/>
        </w:rPr>
        <w:drawing>
          <wp:anchor distT="0" distB="0" distL="114300" distR="114300" simplePos="0" relativeHeight="251660288" behindDoc="0" locked="0" layoutInCell="1" allowOverlap="1">
            <wp:simplePos x="0" y="0"/>
            <wp:positionH relativeFrom="column">
              <wp:posOffset>930275</wp:posOffset>
            </wp:positionH>
            <wp:positionV relativeFrom="paragraph">
              <wp:posOffset>367665</wp:posOffset>
            </wp:positionV>
            <wp:extent cx="3197860" cy="1898015"/>
            <wp:effectExtent l="5080" t="4445" r="16510" b="21590"/>
            <wp:wrapTopAndBottom/>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Pr>
          <w:rFonts w:hint="default" w:ascii="Times New Roman" w:hAnsi="Times New Roman" w:cs="Times New Roman"/>
          <w:lang w:val="en-US" w:eastAsia="zh-CN"/>
        </w:rPr>
        <w:t xml:space="preserve">            </w:t>
      </w:r>
      <w:r>
        <w:rPr>
          <w:rFonts w:hint="default" w:ascii="Times New Roman" w:hAnsi="Times New Roman" w:eastAsia="仿宋_GB2312" w:cs="Times New Roman"/>
          <w:color w:val="auto"/>
          <w:sz w:val="32"/>
          <w:szCs w:val="32"/>
          <w:highlight w:val="none"/>
          <w:lang w:eastAsia="zh-CN"/>
        </w:rPr>
        <w:t>（图2：收入决算结构图）</w:t>
      </w:r>
      <w:r>
        <w:rPr>
          <w:rFonts w:hint="default" w:ascii="Times New Roman" w:hAnsi="Times New Roman" w:eastAsia="仿宋_GB2312" w:cs="Times New Roman"/>
          <w:color w:val="auto"/>
          <w:sz w:val="32"/>
          <w:szCs w:val="32"/>
          <w:highlight w:val="none"/>
          <w:lang w:val="en-US" w:eastAsia="zh-CN"/>
        </w:rPr>
        <w:t xml:space="preserve"> </w:t>
      </w:r>
    </w:p>
    <w:p w14:paraId="15B7E194">
      <w:pPr>
        <w:ind w:firstLine="800" w:firstLineChars="250"/>
        <w:rPr>
          <w:rFonts w:hint="default" w:ascii="Times New Roman" w:hAnsi="Times New Roman" w:eastAsia="仿宋_GB2312" w:cs="Times New Roman"/>
          <w:color w:val="auto"/>
          <w:sz w:val="32"/>
          <w:szCs w:val="32"/>
          <w:highlight w:val="none"/>
          <w:lang w:eastAsia="zh-CN"/>
        </w:rPr>
      </w:pPr>
    </w:p>
    <w:p w14:paraId="53267B5D">
      <w:pPr>
        <w:pStyle w:val="27"/>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1"/>
        <w:rPr>
          <w:rStyle w:val="29"/>
          <w:rFonts w:hint="default" w:ascii="Times New Roman" w:hAnsi="Times New Roman" w:eastAsia="黑体" w:cs="Times New Roman"/>
          <w:b w:val="0"/>
          <w:color w:val="auto"/>
          <w:highlight w:val="none"/>
        </w:rPr>
      </w:pPr>
      <w:bookmarkStart w:id="23" w:name="_Toc15396605"/>
      <w:bookmarkStart w:id="24" w:name="_Toc15377207"/>
      <w:r>
        <w:rPr>
          <w:rFonts w:hint="default" w:ascii="Times New Roman" w:hAnsi="Times New Roman" w:eastAsia="黑体" w:cs="Times New Roman"/>
          <w:color w:val="auto"/>
          <w:sz w:val="32"/>
          <w:szCs w:val="32"/>
          <w:highlight w:val="none"/>
          <w:lang w:eastAsia="zh-CN"/>
        </w:rPr>
        <w:t>三、</w:t>
      </w:r>
      <w:r>
        <w:rPr>
          <w:rFonts w:hint="default" w:ascii="Times New Roman" w:hAnsi="Times New Roman" w:eastAsia="黑体" w:cs="Times New Roman"/>
          <w:color w:val="auto"/>
          <w:sz w:val="32"/>
          <w:szCs w:val="32"/>
          <w:highlight w:val="none"/>
        </w:rPr>
        <w:t>支</w:t>
      </w:r>
      <w:r>
        <w:rPr>
          <w:rStyle w:val="29"/>
          <w:rFonts w:hint="default" w:ascii="Times New Roman" w:hAnsi="Times New Roman" w:eastAsia="黑体" w:cs="Times New Roman"/>
          <w:b w:val="0"/>
          <w:color w:val="auto"/>
          <w:highlight w:val="none"/>
        </w:rPr>
        <w:t>出决算情况说明</w:t>
      </w:r>
      <w:bookmarkEnd w:id="23"/>
      <w:bookmarkEnd w:id="24"/>
    </w:p>
    <w:p w14:paraId="50344DEF">
      <w:pPr>
        <w:pStyle w:val="27"/>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outlineLvl w:val="1"/>
        <w:rPr>
          <w:rFonts w:hint="default" w:ascii="Times New Roman" w:hAnsi="Times New Roman" w:eastAsia="仿宋_GB2312" w:cs="Times New Roman"/>
          <w:b w:val="0"/>
          <w:bCs w:val="0"/>
          <w:color w:val="auto"/>
          <w:kern w:val="2"/>
          <w:sz w:val="32"/>
          <w:szCs w:val="32"/>
          <w:highlight w:val="none"/>
          <w:lang w:val="en-US" w:eastAsia="zh-CN" w:bidi="ar-SA"/>
        </w:rPr>
      </w:pPr>
      <w:r>
        <w:rPr>
          <w:rFonts w:hint="default" w:ascii="Times New Roman" w:hAnsi="Times New Roman" w:eastAsia="仿宋_GB2312" w:cs="Times New Roman"/>
          <w:color w:val="auto"/>
          <w:sz w:val="32"/>
          <w:szCs w:val="32"/>
          <w:highlight w:val="none"/>
          <w:lang w:val="en-US" w:eastAsia="zh-CN"/>
        </w:rPr>
        <w:t>2024</w:t>
      </w:r>
      <w:r>
        <w:rPr>
          <w:rFonts w:hint="default" w:ascii="Times New Roman" w:hAnsi="Times New Roman" w:eastAsia="仿宋_GB2312" w:cs="Times New Roman"/>
          <w:color w:val="auto"/>
          <w:sz w:val="32"/>
          <w:szCs w:val="32"/>
          <w:highlight w:val="none"/>
          <w:lang w:eastAsia="zh-CN"/>
        </w:rPr>
        <w:t>年度本年支出合计</w:t>
      </w:r>
      <w:r>
        <w:rPr>
          <w:rFonts w:hint="default" w:ascii="Times New Roman" w:hAnsi="Times New Roman" w:eastAsia="仿宋_GB2312" w:cs="Times New Roman"/>
          <w:color w:val="auto"/>
          <w:kern w:val="2"/>
          <w:sz w:val="32"/>
          <w:szCs w:val="32"/>
          <w:highlight w:val="none"/>
          <w:lang w:val="en-US" w:eastAsia="zh-CN" w:bidi="ar-SA"/>
        </w:rPr>
        <w:t>586.37</w:t>
      </w:r>
      <w:r>
        <w:rPr>
          <w:rFonts w:hint="default" w:ascii="Times New Roman" w:hAnsi="Times New Roman" w:eastAsia="仿宋_GB2312" w:cs="Times New Roman"/>
          <w:color w:val="auto"/>
          <w:sz w:val="32"/>
          <w:szCs w:val="32"/>
          <w:highlight w:val="none"/>
          <w:lang w:eastAsia="zh-CN"/>
        </w:rPr>
        <w:t>万元，其中：基本支出</w:t>
      </w:r>
      <w:r>
        <w:rPr>
          <w:rFonts w:hint="default" w:ascii="Times New Roman" w:hAnsi="Times New Roman" w:eastAsia="仿宋_GB2312" w:cs="Times New Roman"/>
          <w:color w:val="auto"/>
          <w:kern w:val="2"/>
          <w:sz w:val="32"/>
          <w:szCs w:val="32"/>
          <w:highlight w:val="none"/>
          <w:lang w:val="en-US" w:eastAsia="zh-CN" w:bidi="ar-SA"/>
        </w:rPr>
        <w:t>225.54</w:t>
      </w:r>
      <w:r>
        <w:rPr>
          <w:rFonts w:hint="default" w:ascii="Times New Roman" w:hAnsi="Times New Roman" w:eastAsia="仿宋_GB2312" w:cs="Times New Roman"/>
          <w:color w:val="auto"/>
          <w:sz w:val="32"/>
          <w:szCs w:val="32"/>
          <w:highlight w:val="none"/>
          <w:lang w:eastAsia="zh-CN"/>
        </w:rPr>
        <w:t>万元，占</w:t>
      </w:r>
      <w:r>
        <w:rPr>
          <w:rFonts w:hint="default" w:ascii="Times New Roman" w:hAnsi="Times New Roman" w:eastAsia="仿宋_GB2312" w:cs="Times New Roman"/>
          <w:b w:val="0"/>
          <w:bCs w:val="0"/>
          <w:color w:val="auto"/>
          <w:kern w:val="2"/>
          <w:sz w:val="32"/>
          <w:szCs w:val="32"/>
          <w:highlight w:val="none"/>
          <w:lang w:val="en-US" w:eastAsia="zh-CN" w:bidi="ar-SA"/>
        </w:rPr>
        <w:t>38.46%</w:t>
      </w:r>
      <w:r>
        <w:rPr>
          <w:rFonts w:hint="default" w:ascii="Times New Roman" w:hAnsi="Times New Roman" w:eastAsia="仿宋_GB2312" w:cs="Times New Roman"/>
          <w:color w:val="auto"/>
          <w:sz w:val="32"/>
          <w:szCs w:val="32"/>
          <w:highlight w:val="none"/>
          <w:lang w:eastAsia="zh-CN"/>
        </w:rPr>
        <w:t>；项目支出</w:t>
      </w:r>
      <w:r>
        <w:rPr>
          <w:rFonts w:hint="default" w:ascii="Times New Roman" w:hAnsi="Times New Roman" w:eastAsia="仿宋_GB2312" w:cs="Times New Roman"/>
          <w:b w:val="0"/>
          <w:bCs w:val="0"/>
          <w:color w:val="auto"/>
          <w:kern w:val="2"/>
          <w:sz w:val="32"/>
          <w:szCs w:val="32"/>
          <w:highlight w:val="none"/>
          <w:lang w:val="en-US" w:eastAsia="zh-CN" w:bidi="ar-SA"/>
        </w:rPr>
        <w:t>360.83</w:t>
      </w:r>
      <w:r>
        <w:rPr>
          <w:rFonts w:hint="default" w:ascii="Times New Roman" w:hAnsi="Times New Roman" w:eastAsia="仿宋_GB2312" w:cs="Times New Roman"/>
          <w:color w:val="auto"/>
          <w:sz w:val="32"/>
          <w:szCs w:val="32"/>
          <w:highlight w:val="none"/>
          <w:lang w:eastAsia="zh-CN"/>
        </w:rPr>
        <w:t>万元，占</w:t>
      </w:r>
      <w:r>
        <w:rPr>
          <w:rFonts w:hint="default" w:ascii="Times New Roman" w:hAnsi="Times New Roman" w:eastAsia="仿宋_GB2312" w:cs="Times New Roman"/>
          <w:b w:val="0"/>
          <w:bCs w:val="0"/>
          <w:color w:val="auto"/>
          <w:kern w:val="2"/>
          <w:sz w:val="32"/>
          <w:szCs w:val="32"/>
          <w:highlight w:val="none"/>
          <w:lang w:val="en-US" w:eastAsia="zh-CN" w:bidi="ar-SA"/>
        </w:rPr>
        <w:t>61.54%。</w:t>
      </w:r>
    </w:p>
    <w:p w14:paraId="483745FB">
      <w:pPr>
        <w:pStyle w:val="27"/>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920" w:firstLineChars="600"/>
        <w:jc w:val="left"/>
        <w:textAlignment w:val="auto"/>
        <w:outlineLvl w:val="1"/>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drawing>
          <wp:anchor distT="0" distB="0" distL="114300" distR="114300" simplePos="0" relativeHeight="251661312" behindDoc="0" locked="0" layoutInCell="1" allowOverlap="1">
            <wp:simplePos x="0" y="0"/>
            <wp:positionH relativeFrom="column">
              <wp:posOffset>354330</wp:posOffset>
            </wp:positionH>
            <wp:positionV relativeFrom="paragraph">
              <wp:posOffset>276860</wp:posOffset>
            </wp:positionV>
            <wp:extent cx="4036695" cy="2406015"/>
            <wp:effectExtent l="4445" t="4445" r="16510" b="8890"/>
            <wp:wrapTopAndBottom/>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Pr>
          <w:rFonts w:hint="default" w:ascii="Times New Roman" w:hAnsi="Times New Roman" w:eastAsia="仿宋_GB2312" w:cs="Times New Roman"/>
          <w:color w:val="auto"/>
          <w:sz w:val="32"/>
          <w:szCs w:val="32"/>
          <w:highlight w:val="none"/>
          <w:lang w:eastAsia="zh-CN"/>
        </w:rPr>
        <w:t>（图3：支出决算结构图）</w:t>
      </w:r>
      <w:r>
        <w:rPr>
          <w:rFonts w:hint="default" w:ascii="Times New Roman" w:hAnsi="Times New Roman" w:eastAsia="仿宋_GB2312" w:cs="Times New Roman"/>
          <w:color w:val="auto"/>
          <w:sz w:val="32"/>
          <w:szCs w:val="32"/>
          <w:highlight w:val="none"/>
          <w:lang w:val="en-US" w:eastAsia="zh-CN"/>
        </w:rPr>
        <w:t xml:space="preserve"> </w:t>
      </w:r>
    </w:p>
    <w:p w14:paraId="5AB49272">
      <w:pPr>
        <w:ind w:firstLine="800" w:firstLineChars="250"/>
        <w:rPr>
          <w:rFonts w:hint="default" w:ascii="Times New Roman" w:hAnsi="Times New Roman" w:eastAsia="仿宋_GB2312" w:cs="Times New Roman"/>
          <w:color w:val="auto"/>
          <w:sz w:val="32"/>
          <w:szCs w:val="32"/>
          <w:highlight w:val="none"/>
          <w:lang w:eastAsia="zh-CN"/>
        </w:rPr>
      </w:pPr>
    </w:p>
    <w:p w14:paraId="437F0A5E">
      <w:pPr>
        <w:spacing w:line="600" w:lineRule="exact"/>
        <w:ind w:firstLine="640" w:firstLineChars="200"/>
        <w:outlineLvl w:val="1"/>
        <w:rPr>
          <w:rStyle w:val="29"/>
          <w:rFonts w:hint="default" w:ascii="Times New Roman" w:hAnsi="Times New Roman" w:eastAsia="黑体" w:cs="Times New Roman"/>
          <w:b w:val="0"/>
          <w:color w:val="auto"/>
          <w:highlight w:val="none"/>
        </w:rPr>
      </w:pPr>
      <w:bookmarkStart w:id="25" w:name="_Toc15377208"/>
      <w:bookmarkStart w:id="26" w:name="_Toc15396606"/>
      <w:r>
        <w:rPr>
          <w:rFonts w:hint="default" w:ascii="Times New Roman" w:hAnsi="Times New Roman" w:eastAsia="黑体" w:cs="Times New Roman"/>
          <w:color w:val="auto"/>
          <w:sz w:val="32"/>
          <w:szCs w:val="32"/>
          <w:highlight w:val="none"/>
        </w:rPr>
        <w:t>四、财</w:t>
      </w:r>
      <w:r>
        <w:rPr>
          <w:rStyle w:val="29"/>
          <w:rFonts w:hint="default" w:ascii="Times New Roman" w:hAnsi="Times New Roman" w:eastAsia="黑体" w:cs="Times New Roman"/>
          <w:b w:val="0"/>
          <w:color w:val="auto"/>
          <w:highlight w:val="none"/>
        </w:rPr>
        <w:t>政拨款收入支出决算总体情况说明</w:t>
      </w:r>
      <w:bookmarkEnd w:id="25"/>
      <w:bookmarkEnd w:id="26"/>
    </w:p>
    <w:p w14:paraId="600D83A0">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2024年度财政拨款收入、支出总计均为371.56万元。与2023年度相比，财政拨款收入总计、支出总计各增加38.82万元，增长11.67%。主要变动原因是项目支出较2023年</w:t>
      </w:r>
      <w:r>
        <w:rPr>
          <w:rFonts w:hint="eastAsia" w:ascii="Times New Roman" w:hAnsi="Times New Roman" w:eastAsia="仿宋_GB2312" w:cs="Times New Roman"/>
          <w:color w:val="auto"/>
          <w:kern w:val="2"/>
          <w:sz w:val="32"/>
          <w:szCs w:val="32"/>
          <w:highlight w:val="none"/>
          <w:lang w:val="en-US" w:eastAsia="zh-CN" w:bidi="ar-SA"/>
        </w:rPr>
        <w:t>度</w:t>
      </w:r>
      <w:r>
        <w:rPr>
          <w:rFonts w:hint="default" w:ascii="Times New Roman" w:hAnsi="Times New Roman" w:eastAsia="仿宋_GB2312" w:cs="Times New Roman"/>
          <w:color w:val="auto"/>
          <w:kern w:val="2"/>
          <w:sz w:val="32"/>
          <w:szCs w:val="32"/>
          <w:highlight w:val="none"/>
          <w:lang w:val="en-US" w:eastAsia="zh-CN" w:bidi="ar-SA"/>
        </w:rPr>
        <w:t>增加。</w:t>
      </w:r>
    </w:p>
    <w:p w14:paraId="59891F6B">
      <w:pPr>
        <w:pStyle w:val="2"/>
        <w:rPr>
          <w:rFonts w:hint="default" w:ascii="Times New Roman" w:hAnsi="Times New Roman" w:eastAsia="仿宋_GB2312" w:cs="Times New Roman"/>
          <w:color w:val="auto"/>
          <w:kern w:val="2"/>
          <w:sz w:val="32"/>
          <w:szCs w:val="32"/>
          <w:highlight w:val="none"/>
          <w:lang w:val="en-US" w:eastAsia="zh-CN" w:bidi="ar-SA"/>
        </w:rPr>
      </w:pPr>
    </w:p>
    <w:p w14:paraId="410EE7F6">
      <w:pPr>
        <w:pStyle w:val="2"/>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cs="Times New Roman"/>
        </w:rPr>
        <w:drawing>
          <wp:anchor distT="0" distB="0" distL="114300" distR="114300" simplePos="0" relativeHeight="251662336" behindDoc="0" locked="0" layoutInCell="1" allowOverlap="1">
            <wp:simplePos x="0" y="0"/>
            <wp:positionH relativeFrom="column">
              <wp:posOffset>695325</wp:posOffset>
            </wp:positionH>
            <wp:positionV relativeFrom="paragraph">
              <wp:posOffset>59690</wp:posOffset>
            </wp:positionV>
            <wp:extent cx="3700780" cy="2663190"/>
            <wp:effectExtent l="4445" t="4445" r="9525" b="18415"/>
            <wp:wrapTopAndBottom/>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Pr>
          <w:rFonts w:hint="default" w:ascii="Times New Roman" w:hAnsi="Times New Roman" w:cs="Times New Roman"/>
          <w:lang w:val="en-US" w:eastAsia="zh-CN"/>
        </w:rPr>
        <w:t xml:space="preserve">     </w:t>
      </w:r>
      <w:r>
        <w:rPr>
          <w:rFonts w:hint="default" w:ascii="Times New Roman" w:hAnsi="Times New Roman" w:eastAsia="仿宋_GB2312" w:cs="Times New Roman"/>
          <w:color w:val="auto"/>
          <w:kern w:val="2"/>
          <w:sz w:val="32"/>
          <w:szCs w:val="32"/>
          <w:highlight w:val="none"/>
          <w:lang w:val="en-US" w:eastAsia="zh-CN" w:bidi="ar-SA"/>
        </w:rPr>
        <w:t>（图4：财政拨款收、支决算总计变动情况）</w:t>
      </w:r>
    </w:p>
    <w:p w14:paraId="67A7A36B">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p>
    <w:p w14:paraId="597344A0">
      <w:pPr>
        <w:spacing w:line="600" w:lineRule="exact"/>
        <w:ind w:firstLine="640" w:firstLineChars="200"/>
        <w:outlineLvl w:val="1"/>
        <w:rPr>
          <w:rStyle w:val="29"/>
          <w:rFonts w:hint="default" w:ascii="Times New Roman" w:hAnsi="Times New Roman" w:eastAsia="黑体" w:cs="Times New Roman"/>
          <w:b w:val="0"/>
          <w:color w:val="auto"/>
          <w:highlight w:val="none"/>
        </w:rPr>
      </w:pPr>
      <w:bookmarkStart w:id="27" w:name="_Toc15377209"/>
      <w:bookmarkStart w:id="28" w:name="_Toc15396607"/>
      <w:r>
        <w:rPr>
          <w:rFonts w:hint="default" w:ascii="Times New Roman" w:hAnsi="Times New Roman" w:eastAsia="黑体" w:cs="Times New Roman"/>
          <w:color w:val="auto"/>
          <w:sz w:val="32"/>
          <w:szCs w:val="32"/>
          <w:highlight w:val="none"/>
        </w:rPr>
        <w:t>五、</w:t>
      </w:r>
      <w:r>
        <w:rPr>
          <w:rFonts w:hint="default" w:ascii="Times New Roman" w:hAnsi="Times New Roman" w:eastAsia="黑体" w:cs="Times New Roman"/>
          <w:b/>
          <w:color w:val="auto"/>
          <w:sz w:val="32"/>
          <w:szCs w:val="32"/>
          <w:highlight w:val="none"/>
        </w:rPr>
        <w:t>一</w:t>
      </w:r>
      <w:r>
        <w:rPr>
          <w:rStyle w:val="29"/>
          <w:rFonts w:hint="default" w:ascii="Times New Roman" w:hAnsi="Times New Roman" w:eastAsia="黑体" w:cs="Times New Roman"/>
          <w:b w:val="0"/>
          <w:color w:val="auto"/>
          <w:highlight w:val="none"/>
        </w:rPr>
        <w:t>般公共预算财政拨款支出决算情况说明</w:t>
      </w:r>
      <w:bookmarkEnd w:id="27"/>
      <w:bookmarkEnd w:id="28"/>
    </w:p>
    <w:p w14:paraId="5259B822">
      <w:pPr>
        <w:spacing w:line="600" w:lineRule="exact"/>
        <w:ind w:firstLine="643" w:firstLineChars="200"/>
        <w:outlineLvl w:val="2"/>
        <w:rPr>
          <w:rFonts w:hint="default" w:ascii="Times New Roman" w:hAnsi="Times New Roman" w:eastAsia="楷体_GB2312" w:cs="Times New Roman"/>
          <w:b/>
          <w:color w:val="auto"/>
          <w:sz w:val="32"/>
          <w:szCs w:val="32"/>
          <w:highlight w:val="none"/>
        </w:rPr>
      </w:pPr>
      <w:bookmarkStart w:id="29" w:name="_Toc15377210"/>
      <w:r>
        <w:rPr>
          <w:rFonts w:hint="default" w:ascii="Times New Roman" w:hAnsi="Times New Roman" w:eastAsia="楷体_GB2312" w:cs="Times New Roman"/>
          <w:b/>
          <w:color w:val="auto"/>
          <w:sz w:val="32"/>
          <w:szCs w:val="32"/>
          <w:highlight w:val="none"/>
        </w:rPr>
        <w:t>（一）一般公共预算财政拨款支出决算总体情况</w:t>
      </w:r>
      <w:bookmarkEnd w:id="29"/>
    </w:p>
    <w:p w14:paraId="51AE34B6">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2024年度一般公共预算财政拨款支出</w:t>
      </w:r>
      <w:r>
        <w:rPr>
          <w:rFonts w:hint="default" w:ascii="Times New Roman" w:hAnsi="Times New Roman" w:eastAsia="仿宋_GB2312" w:cs="Times New Roman"/>
          <w:sz w:val="32"/>
          <w:szCs w:val="32"/>
        </w:rPr>
        <w:t>371.56</w:t>
      </w:r>
      <w:r>
        <w:rPr>
          <w:rFonts w:hint="default" w:ascii="Times New Roman" w:hAnsi="Times New Roman" w:eastAsia="仿宋_GB2312" w:cs="Times New Roman"/>
          <w:color w:val="auto"/>
          <w:kern w:val="2"/>
          <w:sz w:val="32"/>
          <w:szCs w:val="32"/>
          <w:highlight w:val="none"/>
          <w:lang w:val="en-US" w:eastAsia="zh-CN" w:bidi="ar-SA"/>
        </w:rPr>
        <w:t>万元，占本年支出合计的</w:t>
      </w:r>
      <w:r>
        <w:rPr>
          <w:rFonts w:hint="default" w:ascii="Times New Roman" w:hAnsi="Times New Roman" w:eastAsia="仿宋_GB2312" w:cs="Times New Roman"/>
          <w:sz w:val="32"/>
          <w:szCs w:val="32"/>
        </w:rPr>
        <w:t>63.36</w:t>
      </w:r>
      <w:r>
        <w:rPr>
          <w:rFonts w:hint="default" w:ascii="Times New Roman" w:hAnsi="Times New Roman" w:eastAsia="仿宋_GB2312" w:cs="Times New Roman"/>
          <w:color w:val="auto"/>
          <w:kern w:val="2"/>
          <w:sz w:val="32"/>
          <w:szCs w:val="32"/>
          <w:highlight w:val="none"/>
          <w:lang w:val="en-US" w:eastAsia="zh-CN" w:bidi="ar-SA"/>
        </w:rPr>
        <w:t>%。与2023年度相比，一般公共预算财政拨款支出增加38.82万元，增长11.67%。主要变动原因是项目支出较上年度增加。</w:t>
      </w:r>
    </w:p>
    <w:p w14:paraId="0B743360">
      <w:pPr>
        <w:pStyle w:val="2"/>
        <w:rPr>
          <w:rFonts w:hint="default" w:ascii="Times New Roman" w:hAnsi="Times New Roman" w:eastAsia="仿宋_GB2312" w:cs="Times New Roman"/>
          <w:color w:val="auto"/>
          <w:kern w:val="2"/>
          <w:sz w:val="32"/>
          <w:szCs w:val="32"/>
          <w:highlight w:val="none"/>
          <w:lang w:val="en-US" w:eastAsia="zh-CN" w:bidi="ar-SA"/>
        </w:rPr>
      </w:pPr>
    </w:p>
    <w:p w14:paraId="26D34A40">
      <w:pPr>
        <w:pStyle w:val="2"/>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cs="Times New Roman"/>
        </w:rPr>
        <w:drawing>
          <wp:anchor distT="0" distB="0" distL="114300" distR="114300" simplePos="0" relativeHeight="251663360" behindDoc="0" locked="0" layoutInCell="1" allowOverlap="1">
            <wp:simplePos x="0" y="0"/>
            <wp:positionH relativeFrom="column">
              <wp:posOffset>711200</wp:posOffset>
            </wp:positionH>
            <wp:positionV relativeFrom="paragraph">
              <wp:posOffset>154940</wp:posOffset>
            </wp:positionV>
            <wp:extent cx="4098290" cy="2606675"/>
            <wp:effectExtent l="4445" t="4445" r="12065" b="17780"/>
            <wp:wrapTopAndBottom/>
            <wp:docPr id="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Pr>
          <w:rFonts w:hint="default" w:ascii="Times New Roman" w:hAnsi="Times New Roman" w:cs="Times New Roman"/>
          <w:lang w:val="en-US" w:eastAsia="zh-CN"/>
        </w:rPr>
        <w:t xml:space="preserve">      </w:t>
      </w:r>
      <w:r>
        <w:rPr>
          <w:rFonts w:hint="default" w:ascii="Times New Roman" w:hAnsi="Times New Roman" w:eastAsia="仿宋_GB2312" w:cs="Times New Roman"/>
          <w:color w:val="auto"/>
          <w:kern w:val="2"/>
          <w:sz w:val="32"/>
          <w:szCs w:val="32"/>
          <w:highlight w:val="none"/>
          <w:lang w:val="en-US" w:eastAsia="zh-CN" w:bidi="ar-SA"/>
        </w:rPr>
        <w:t>（图5：一般公共预算财政拨款支出决算变动情况）</w:t>
      </w:r>
      <w:bookmarkStart w:id="30" w:name="_Toc15377211"/>
    </w:p>
    <w:p w14:paraId="20B30751">
      <w:pPr>
        <w:spacing w:line="600" w:lineRule="exact"/>
        <w:ind w:firstLine="643" w:firstLineChars="200"/>
        <w:outlineLvl w:val="2"/>
        <w:rPr>
          <w:rFonts w:hint="default" w:ascii="Times New Roman" w:hAnsi="Times New Roman" w:eastAsia="楷体_GB2312" w:cs="Times New Roman"/>
          <w:b/>
          <w:color w:val="auto"/>
          <w:sz w:val="32"/>
          <w:szCs w:val="32"/>
          <w:highlight w:val="none"/>
        </w:rPr>
      </w:pPr>
    </w:p>
    <w:p w14:paraId="3DD70B3B">
      <w:pPr>
        <w:spacing w:line="600" w:lineRule="exact"/>
        <w:ind w:firstLine="643" w:firstLineChars="200"/>
        <w:outlineLvl w:val="2"/>
        <w:rPr>
          <w:rFonts w:hint="default" w:ascii="Times New Roman" w:hAnsi="Times New Roman" w:eastAsia="楷体_GB2312" w:cs="Times New Roman"/>
          <w:b/>
          <w:color w:val="auto"/>
          <w:sz w:val="32"/>
          <w:szCs w:val="32"/>
          <w:highlight w:val="none"/>
        </w:rPr>
      </w:pPr>
      <w:r>
        <w:rPr>
          <w:rFonts w:hint="default" w:ascii="Times New Roman" w:hAnsi="Times New Roman" w:eastAsia="楷体_GB2312" w:cs="Times New Roman"/>
          <w:b/>
          <w:color w:val="auto"/>
          <w:sz w:val="32"/>
          <w:szCs w:val="32"/>
          <w:highlight w:val="none"/>
        </w:rPr>
        <w:t>（二）一般公共预算财政拨款支出决算结构情况</w:t>
      </w:r>
      <w:bookmarkEnd w:id="30"/>
    </w:p>
    <w:p w14:paraId="2CAE3FA1">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2024年度一般公共预算财政拨款支出</w:t>
      </w:r>
      <w:r>
        <w:rPr>
          <w:rFonts w:hint="default" w:ascii="Times New Roman" w:hAnsi="Times New Roman" w:eastAsia="仿宋_GB2312" w:cs="Times New Roman"/>
          <w:sz w:val="32"/>
          <w:szCs w:val="32"/>
        </w:rPr>
        <w:t>371.56</w:t>
      </w:r>
      <w:r>
        <w:rPr>
          <w:rFonts w:hint="default" w:ascii="Times New Roman" w:hAnsi="Times New Roman" w:eastAsia="仿宋_GB2312" w:cs="Times New Roman"/>
          <w:color w:val="auto"/>
          <w:kern w:val="2"/>
          <w:sz w:val="32"/>
          <w:szCs w:val="32"/>
          <w:highlight w:val="none"/>
          <w:lang w:val="en-US" w:eastAsia="zh-CN" w:bidi="ar-SA"/>
        </w:rPr>
        <w:t>万元，主要用于以下方面：社会保障和就业支出340.29万元，占91.58%；卫生健康支出13.95万元，占3.76%；住房保障支出17.32万元，占4.66%。</w:t>
      </w:r>
    </w:p>
    <w:p w14:paraId="1BA2A374">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cs="Times New Roman"/>
        </w:rPr>
        <w:drawing>
          <wp:anchor distT="0" distB="0" distL="114300" distR="114300" simplePos="0" relativeHeight="251664384" behindDoc="0" locked="0" layoutInCell="1" allowOverlap="1">
            <wp:simplePos x="0" y="0"/>
            <wp:positionH relativeFrom="column">
              <wp:posOffset>877570</wp:posOffset>
            </wp:positionH>
            <wp:positionV relativeFrom="paragraph">
              <wp:posOffset>136525</wp:posOffset>
            </wp:positionV>
            <wp:extent cx="3752850" cy="2547620"/>
            <wp:effectExtent l="4445" t="4445" r="14605" b="19685"/>
            <wp:wrapTopAndBottom/>
            <wp:docPr id="8"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r>
        <w:rPr>
          <w:rFonts w:hint="default" w:ascii="Times New Roman" w:hAnsi="Times New Roman" w:cs="Times New Roman"/>
          <w:lang w:val="en-US" w:eastAsia="zh-CN"/>
        </w:rPr>
        <w:t xml:space="preserve">    </w:t>
      </w:r>
      <w:r>
        <w:rPr>
          <w:rFonts w:hint="default" w:ascii="Times New Roman" w:hAnsi="Times New Roman" w:eastAsia="仿宋_GB2312" w:cs="Times New Roman"/>
          <w:color w:val="auto"/>
          <w:kern w:val="2"/>
          <w:sz w:val="32"/>
          <w:szCs w:val="32"/>
          <w:highlight w:val="none"/>
          <w:lang w:val="en-US" w:eastAsia="zh-CN" w:bidi="ar-SA"/>
        </w:rPr>
        <w:t>（图6：一般公共预算财政拨款支出决算结构）</w:t>
      </w:r>
    </w:p>
    <w:p w14:paraId="5FF82FFE">
      <w:pPr>
        <w:spacing w:line="600" w:lineRule="exact"/>
        <w:ind w:firstLine="643" w:firstLineChars="200"/>
        <w:outlineLvl w:val="2"/>
        <w:rPr>
          <w:rFonts w:hint="default" w:ascii="Times New Roman" w:hAnsi="Times New Roman" w:eastAsia="楷体_GB2312" w:cs="Times New Roman"/>
          <w:b/>
          <w:color w:val="auto"/>
          <w:sz w:val="32"/>
          <w:szCs w:val="32"/>
          <w:highlight w:val="none"/>
        </w:rPr>
      </w:pPr>
      <w:bookmarkStart w:id="31" w:name="_Toc15377212"/>
    </w:p>
    <w:p w14:paraId="0857C17E">
      <w:pPr>
        <w:spacing w:line="600" w:lineRule="exact"/>
        <w:ind w:firstLine="643" w:firstLineChars="200"/>
        <w:outlineLvl w:val="2"/>
        <w:rPr>
          <w:rFonts w:hint="default" w:ascii="Times New Roman" w:hAnsi="Times New Roman" w:eastAsia="楷体_GB2312" w:cs="Times New Roman"/>
          <w:b/>
          <w:color w:val="auto"/>
          <w:sz w:val="32"/>
          <w:szCs w:val="32"/>
          <w:highlight w:val="none"/>
        </w:rPr>
      </w:pPr>
      <w:r>
        <w:rPr>
          <w:rFonts w:hint="default" w:ascii="Times New Roman" w:hAnsi="Times New Roman" w:eastAsia="楷体_GB2312" w:cs="Times New Roman"/>
          <w:b/>
          <w:color w:val="auto"/>
          <w:sz w:val="32"/>
          <w:szCs w:val="32"/>
          <w:highlight w:val="none"/>
        </w:rPr>
        <w:t>（三）一般公共预算财政拨款支出决算具体情况</w:t>
      </w:r>
      <w:bookmarkEnd w:id="31"/>
    </w:p>
    <w:p w14:paraId="45D888C7">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bookmarkStart w:id="32" w:name="_Toc15377444"/>
      <w:bookmarkStart w:id="33" w:name="_Toc15378460"/>
      <w:bookmarkStart w:id="34" w:name="_Toc15377213"/>
      <w:r>
        <w:rPr>
          <w:rFonts w:hint="default" w:ascii="Times New Roman" w:hAnsi="Times New Roman" w:eastAsia="仿宋_GB2312" w:cs="Times New Roman"/>
          <w:color w:val="auto"/>
          <w:kern w:val="2"/>
          <w:sz w:val="32"/>
          <w:szCs w:val="32"/>
          <w:highlight w:val="none"/>
          <w:lang w:val="en-US" w:eastAsia="zh-CN" w:bidi="ar-SA"/>
        </w:rPr>
        <w:t>2024年度一般公共预算财政拨款支出决算数为</w:t>
      </w:r>
      <w:r>
        <w:rPr>
          <w:rFonts w:hint="default" w:ascii="Times New Roman" w:hAnsi="Times New Roman" w:eastAsia="仿宋_GB2312" w:cs="Times New Roman"/>
          <w:sz w:val="32"/>
          <w:szCs w:val="32"/>
        </w:rPr>
        <w:t>371.56</w:t>
      </w:r>
      <w:r>
        <w:rPr>
          <w:rFonts w:hint="default" w:ascii="Times New Roman" w:hAnsi="Times New Roman" w:eastAsia="仿宋_GB2312" w:cs="Times New Roman"/>
          <w:color w:val="auto"/>
          <w:kern w:val="2"/>
          <w:sz w:val="32"/>
          <w:szCs w:val="32"/>
          <w:highlight w:val="none"/>
          <w:lang w:val="en-US" w:eastAsia="zh-CN" w:bidi="ar-SA"/>
        </w:rPr>
        <w:t>，完成预算100%。其中：</w:t>
      </w:r>
      <w:bookmarkEnd w:id="32"/>
      <w:bookmarkEnd w:id="33"/>
      <w:bookmarkEnd w:id="34"/>
    </w:p>
    <w:p w14:paraId="6C2CBF49">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bookmarkStart w:id="35" w:name="_Toc15396608"/>
      <w:bookmarkStart w:id="36" w:name="_Toc15377214"/>
      <w:r>
        <w:rPr>
          <w:rFonts w:hint="default" w:ascii="Times New Roman" w:hAnsi="Times New Roman" w:eastAsia="仿宋_GB2312" w:cs="Times New Roman"/>
          <w:color w:val="auto"/>
          <w:kern w:val="2"/>
          <w:sz w:val="32"/>
          <w:szCs w:val="32"/>
          <w:highlight w:val="none"/>
          <w:lang w:val="en-US" w:eastAsia="zh-CN" w:bidi="ar-SA"/>
        </w:rPr>
        <w:t>1.社会保障和就业支出（类）人力资源和社会保障管理事务（款）事业运行（项）: 支出决算为165.24万元，完成预算100%，决算数等于预算数。</w:t>
      </w:r>
    </w:p>
    <w:p w14:paraId="33B29106">
      <w:pPr>
        <w:spacing w:line="600" w:lineRule="exact"/>
        <w:ind w:firstLine="640" w:firstLineChars="200"/>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社会保障和就业支出（类）人力资源和社会保障管理事务（款）其他人力资源和社会保障管理事务支出（项）: 支出决算为146.01万元，完成预算100%，决算数等于预算数。</w:t>
      </w:r>
    </w:p>
    <w:p w14:paraId="0A16ACB8">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社会保障和就业支出（类）行政事业单位养老支出（款）事业单位离退休（项）: 支出决算为5.95万元，完成预算100%，决算数等于预算数。</w:t>
      </w:r>
    </w:p>
    <w:p w14:paraId="46219FC0">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社会保障和就业支出（类）行政事业单位养老支出（款）机关事业单位基本养老保险缴费支出（项）: 支出决算为23.09万元，完成预算100%，决算数等于预算数。</w:t>
      </w:r>
    </w:p>
    <w:p w14:paraId="31775EB6">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2.卫生健康支出（类）行政事业单位医疗（款）事业单位医疗（项）: 支出决算为11.11万元，完成预算100%，决算数等于预算数。</w:t>
      </w:r>
    </w:p>
    <w:p w14:paraId="4EC8B7D7">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卫生健康支出（类）行政事业单位医疗（款）公务员医疗补助（项）: 支出决算为1.44万元，完成预算100%，决算数等于预算数。</w:t>
      </w:r>
    </w:p>
    <w:p w14:paraId="6BAFC9E9">
      <w:pPr>
        <w:pStyle w:val="2"/>
        <w:ind w:firstLine="640" w:firstLineChars="200"/>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卫生健康支出（类）行政事业单位医疗（款）其他行政事业单位医疗支出（项）: 支出决算为1.40万元，完成预算100%，决算数等于预算数。</w:t>
      </w:r>
    </w:p>
    <w:p w14:paraId="2523DFE2">
      <w:pPr>
        <w:numPr>
          <w:ilvl w:val="0"/>
          <w:numId w:val="0"/>
        </w:numPr>
        <w:spacing w:line="600" w:lineRule="exact"/>
        <w:ind w:firstLine="640" w:firstLineChars="200"/>
        <w:rPr>
          <w:rFonts w:hint="default" w:ascii="Times New Roman" w:hAnsi="Times New Roman" w:eastAsia="仿宋_GB2312" w:cs="Times New Roman"/>
          <w:color w:val="auto"/>
          <w:kern w:val="2"/>
          <w:sz w:val="32"/>
          <w:szCs w:val="32"/>
          <w:highlight w:val="none"/>
          <w:lang w:val="en-US" w:eastAsia="zh-CN" w:bidi="ar-SA"/>
        </w:rPr>
      </w:pPr>
      <w:r>
        <w:rPr>
          <w:rFonts w:hint="eastAsia" w:eastAsia="仿宋_GB2312" w:cs="Times New Roman"/>
          <w:color w:val="auto"/>
          <w:kern w:val="2"/>
          <w:sz w:val="32"/>
          <w:szCs w:val="32"/>
          <w:highlight w:val="none"/>
          <w:lang w:val="en-US" w:eastAsia="zh-CN" w:bidi="ar-SA"/>
        </w:rPr>
        <w:t>3.</w:t>
      </w:r>
      <w:r>
        <w:rPr>
          <w:rFonts w:hint="default" w:ascii="Times New Roman" w:hAnsi="Times New Roman" w:eastAsia="仿宋_GB2312" w:cs="Times New Roman"/>
          <w:color w:val="auto"/>
          <w:kern w:val="2"/>
          <w:sz w:val="32"/>
          <w:szCs w:val="32"/>
          <w:highlight w:val="none"/>
          <w:lang w:val="en-US" w:eastAsia="zh-CN" w:bidi="ar-SA"/>
        </w:rPr>
        <w:t>住房保障支出（类）住房改革支出（款）住房公积金（项）: 支出决算为17.32万元，完成预算100%，决算数等于预算数。</w:t>
      </w:r>
    </w:p>
    <w:p w14:paraId="01E6EC50">
      <w:pPr>
        <w:pStyle w:val="2"/>
        <w:numPr>
          <w:ilvl w:val="0"/>
          <w:numId w:val="0"/>
        </w:numPr>
        <w:rPr>
          <w:rFonts w:hint="default" w:ascii="Times New Roman" w:hAnsi="Times New Roman" w:cs="Times New Roman"/>
        </w:rPr>
      </w:pPr>
    </w:p>
    <w:p w14:paraId="23C79C09">
      <w:pPr>
        <w:tabs>
          <w:tab w:val="right" w:pos="8306"/>
        </w:tabs>
        <w:spacing w:line="600" w:lineRule="exact"/>
        <w:ind w:firstLine="640"/>
        <w:outlineLvl w:val="1"/>
        <w:rPr>
          <w:rStyle w:val="29"/>
          <w:rFonts w:hint="default" w:ascii="Times New Roman" w:hAnsi="Times New Roman" w:cs="Times New Roman"/>
          <w:color w:val="auto"/>
          <w:highlight w:val="none"/>
        </w:rPr>
      </w:pPr>
      <w:r>
        <w:rPr>
          <w:rFonts w:hint="default" w:ascii="Times New Roman" w:hAnsi="Times New Roman" w:eastAsia="黑体" w:cs="Times New Roman"/>
          <w:color w:val="auto"/>
          <w:sz w:val="32"/>
          <w:szCs w:val="32"/>
          <w:highlight w:val="none"/>
        </w:rPr>
        <w:t>六</w:t>
      </w:r>
      <w:r>
        <w:rPr>
          <w:rFonts w:hint="default" w:ascii="Times New Roman" w:hAnsi="Times New Roman" w:eastAsia="黑体" w:cs="Times New Roman"/>
          <w:b/>
          <w:color w:val="auto"/>
          <w:sz w:val="32"/>
          <w:szCs w:val="32"/>
          <w:highlight w:val="none"/>
        </w:rPr>
        <w:t>、一</w:t>
      </w:r>
      <w:r>
        <w:rPr>
          <w:rStyle w:val="29"/>
          <w:rFonts w:hint="default" w:ascii="Times New Roman" w:hAnsi="Times New Roman" w:eastAsia="黑体" w:cs="Times New Roman"/>
          <w:b w:val="0"/>
          <w:color w:val="auto"/>
          <w:highlight w:val="none"/>
        </w:rPr>
        <w:t>般公共预算财政拨款基本支出决算情况说明</w:t>
      </w:r>
      <w:bookmarkEnd w:id="35"/>
      <w:bookmarkEnd w:id="36"/>
      <w:r>
        <w:rPr>
          <w:rStyle w:val="29"/>
          <w:rFonts w:hint="default" w:ascii="Times New Roman" w:hAnsi="Times New Roman" w:eastAsia="黑体" w:cs="Times New Roman"/>
          <w:b w:val="0"/>
          <w:color w:val="auto"/>
          <w:highlight w:val="none"/>
        </w:rPr>
        <w:tab/>
      </w:r>
    </w:p>
    <w:p w14:paraId="06359A32">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2024年度一般公共预算财政拨款基本支出</w:t>
      </w:r>
      <w:r>
        <w:rPr>
          <w:rStyle w:val="29"/>
          <w:rFonts w:hint="default" w:ascii="Times New Roman" w:hAnsi="Times New Roman" w:eastAsia="黑体" w:cs="Times New Roman"/>
          <w:b w:val="0"/>
          <w:color w:val="auto"/>
          <w:highlight w:val="none"/>
        </w:rPr>
        <w:t>225.5</w:t>
      </w:r>
      <w:r>
        <w:rPr>
          <w:rStyle w:val="29"/>
          <w:rFonts w:hint="default" w:ascii="Times New Roman" w:hAnsi="Times New Roman" w:eastAsia="黑体" w:cs="Times New Roman"/>
          <w:b w:val="0"/>
          <w:color w:val="auto"/>
          <w:highlight w:val="none"/>
          <w:lang w:val="en-US" w:eastAsia="zh-CN"/>
        </w:rPr>
        <w:t>4</w:t>
      </w:r>
      <w:r>
        <w:rPr>
          <w:rFonts w:hint="default" w:ascii="Times New Roman" w:hAnsi="Times New Roman" w:eastAsia="仿宋_GB2312" w:cs="Times New Roman"/>
          <w:color w:val="auto"/>
          <w:kern w:val="2"/>
          <w:sz w:val="32"/>
          <w:szCs w:val="32"/>
          <w:highlight w:val="none"/>
          <w:lang w:val="en-US" w:eastAsia="zh-CN" w:bidi="ar-SA"/>
        </w:rPr>
        <w:t>万元，其中：</w:t>
      </w:r>
    </w:p>
    <w:p w14:paraId="0FE4B927">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人员经费207.45万元，主要包括：基本工资、津贴补贴、绩效工资、机关事业单位基本养老保险缴费、职工基本医疗保险缴费、公务员医疗补助缴费、其他社会保障缴费、住房公积金、生活补助、医疗费补助、奖励金等。</w:t>
      </w:r>
      <w:r>
        <w:rPr>
          <w:rFonts w:hint="default" w:ascii="Times New Roman" w:hAnsi="Times New Roman" w:eastAsia="仿宋_GB2312" w:cs="Times New Roman"/>
          <w:color w:val="auto"/>
          <w:kern w:val="2"/>
          <w:sz w:val="32"/>
          <w:szCs w:val="32"/>
          <w:highlight w:val="none"/>
          <w:lang w:val="en-US" w:eastAsia="zh-CN" w:bidi="ar-SA"/>
        </w:rPr>
        <w:br w:type="textWrapping"/>
      </w:r>
      <w:r>
        <w:rPr>
          <w:rFonts w:hint="default" w:ascii="Times New Roman" w:hAnsi="Times New Roman" w:eastAsia="仿宋_GB2312" w:cs="Times New Roman"/>
          <w:color w:val="auto"/>
          <w:kern w:val="2"/>
          <w:sz w:val="32"/>
          <w:szCs w:val="32"/>
          <w:highlight w:val="none"/>
          <w:lang w:val="en-US" w:eastAsia="zh-CN" w:bidi="ar-SA"/>
        </w:rPr>
        <w:t>　　公用经费18.09万元，主要包括：办公费、水费、电费、邮电费、差旅费、培训费、公务接待费、委托业务费、工会经费、福利费、其他交通费用、其他商品和服务支出等。</w:t>
      </w:r>
    </w:p>
    <w:p w14:paraId="60B082E6">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p>
    <w:p w14:paraId="7CB443C0">
      <w:pPr>
        <w:spacing w:line="600" w:lineRule="exact"/>
        <w:ind w:firstLine="640"/>
        <w:outlineLvl w:val="1"/>
        <w:rPr>
          <w:rStyle w:val="29"/>
          <w:rFonts w:hint="default" w:ascii="Times New Roman" w:hAnsi="Times New Roman" w:eastAsia="黑体" w:cs="Times New Roman"/>
          <w:b w:val="0"/>
          <w:color w:val="auto"/>
          <w:highlight w:val="none"/>
        </w:rPr>
      </w:pPr>
      <w:bookmarkStart w:id="37" w:name="_Toc15377215"/>
      <w:bookmarkStart w:id="38" w:name="_Toc15396609"/>
      <w:r>
        <w:rPr>
          <w:rFonts w:hint="default" w:ascii="Times New Roman" w:hAnsi="Times New Roman" w:eastAsia="黑体" w:cs="Times New Roman"/>
          <w:color w:val="auto"/>
          <w:sz w:val="32"/>
          <w:szCs w:val="32"/>
          <w:highlight w:val="none"/>
        </w:rPr>
        <w:t>七、</w:t>
      </w:r>
      <w:r>
        <w:rPr>
          <w:rStyle w:val="29"/>
          <w:rFonts w:hint="default" w:ascii="Times New Roman" w:hAnsi="Times New Roman" w:eastAsia="黑体" w:cs="Times New Roman"/>
          <w:b w:val="0"/>
          <w:color w:val="auto"/>
          <w:highlight w:val="none"/>
        </w:rPr>
        <w:t>财政拨款</w:t>
      </w:r>
      <w:r>
        <w:rPr>
          <w:rStyle w:val="29"/>
          <w:rFonts w:hint="default" w:ascii="Times New Roman" w:hAnsi="Times New Roman" w:eastAsia="黑体" w:cs="Times New Roman"/>
          <w:color w:val="auto"/>
          <w:highlight w:val="none"/>
        </w:rPr>
        <w:t>“</w:t>
      </w:r>
      <w:r>
        <w:rPr>
          <w:rStyle w:val="29"/>
          <w:rFonts w:hint="default" w:ascii="Times New Roman" w:hAnsi="Times New Roman" w:eastAsia="黑体" w:cs="Times New Roman"/>
          <w:b w:val="0"/>
          <w:color w:val="auto"/>
          <w:highlight w:val="none"/>
        </w:rPr>
        <w:t>三公”经费支出决算情况说明</w:t>
      </w:r>
      <w:bookmarkEnd w:id="37"/>
      <w:bookmarkEnd w:id="38"/>
    </w:p>
    <w:p w14:paraId="7784541F">
      <w:pPr>
        <w:spacing w:line="600" w:lineRule="exact"/>
        <w:ind w:firstLine="643" w:firstLineChars="200"/>
        <w:outlineLvl w:val="2"/>
        <w:rPr>
          <w:rFonts w:hint="default" w:ascii="Times New Roman" w:hAnsi="Times New Roman" w:eastAsia="楷体_GB2312" w:cs="Times New Roman"/>
          <w:b/>
          <w:color w:val="auto"/>
          <w:sz w:val="32"/>
          <w:szCs w:val="32"/>
          <w:highlight w:val="none"/>
        </w:rPr>
      </w:pPr>
      <w:bookmarkStart w:id="39" w:name="_Toc15377216"/>
      <w:r>
        <w:rPr>
          <w:rFonts w:hint="default" w:ascii="Times New Roman" w:hAnsi="Times New Roman" w:eastAsia="楷体_GB2312" w:cs="Times New Roman"/>
          <w:b/>
          <w:color w:val="auto"/>
          <w:sz w:val="32"/>
          <w:szCs w:val="32"/>
          <w:highlight w:val="none"/>
        </w:rPr>
        <w:t>（一）“三公”经费财政拨款支出决算总体情况说明</w:t>
      </w:r>
      <w:bookmarkEnd w:id="39"/>
    </w:p>
    <w:p w14:paraId="7125EF09">
      <w:pPr>
        <w:spacing w:line="600" w:lineRule="exact"/>
        <w:ind w:firstLine="640"/>
        <w:rPr>
          <w:rFonts w:hint="default" w:ascii="Times New Roman" w:hAnsi="Times New Roman" w:eastAsia="仿宋_GB2312" w:cs="Times New Roman"/>
          <w:b/>
          <w:bCs/>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2024年度“三公”经费财政拨款支出决算为</w:t>
      </w:r>
      <w:r>
        <w:rPr>
          <w:rStyle w:val="29"/>
          <w:rFonts w:hint="default" w:ascii="Times New Roman" w:hAnsi="Times New Roman" w:eastAsia="黑体" w:cs="Times New Roman"/>
          <w:b w:val="0"/>
          <w:color w:val="auto"/>
          <w:highlight w:val="none"/>
        </w:rPr>
        <w:t>0.29</w:t>
      </w:r>
      <w:r>
        <w:rPr>
          <w:rFonts w:hint="default" w:ascii="Times New Roman" w:hAnsi="Times New Roman" w:eastAsia="仿宋_GB2312" w:cs="Times New Roman"/>
          <w:color w:val="auto"/>
          <w:kern w:val="2"/>
          <w:sz w:val="32"/>
          <w:szCs w:val="32"/>
          <w:highlight w:val="none"/>
          <w:lang w:val="en-US" w:eastAsia="zh-CN" w:bidi="ar-SA"/>
        </w:rPr>
        <w:t>万元，完成预算</w:t>
      </w:r>
      <w:r>
        <w:rPr>
          <w:rStyle w:val="29"/>
          <w:rFonts w:hint="default" w:ascii="Times New Roman" w:hAnsi="Times New Roman" w:eastAsia="黑体" w:cs="Times New Roman"/>
          <w:b w:val="0"/>
          <w:color w:val="auto"/>
          <w:highlight w:val="none"/>
        </w:rPr>
        <w:t>100</w:t>
      </w:r>
      <w:r>
        <w:rPr>
          <w:rFonts w:hint="default" w:ascii="Times New Roman" w:hAnsi="Times New Roman" w:eastAsia="仿宋_GB2312" w:cs="Times New Roman"/>
          <w:color w:val="auto"/>
          <w:kern w:val="2"/>
          <w:sz w:val="32"/>
          <w:szCs w:val="32"/>
          <w:highlight w:val="none"/>
          <w:lang w:val="en-US" w:eastAsia="zh-CN" w:bidi="ar-SA"/>
        </w:rPr>
        <w:t>%，较上年度增加0.14万元，增长93.33%。</w:t>
      </w:r>
    </w:p>
    <w:p w14:paraId="3B4BD5CD">
      <w:pPr>
        <w:spacing w:line="600" w:lineRule="exact"/>
        <w:ind w:firstLine="643" w:firstLineChars="200"/>
        <w:outlineLvl w:val="2"/>
        <w:rPr>
          <w:rFonts w:hint="default" w:ascii="Times New Roman" w:hAnsi="Times New Roman" w:eastAsia="楷体_GB2312" w:cs="Times New Roman"/>
          <w:b/>
          <w:color w:val="auto"/>
          <w:sz w:val="32"/>
          <w:szCs w:val="32"/>
          <w:highlight w:val="none"/>
        </w:rPr>
      </w:pPr>
      <w:bookmarkStart w:id="40" w:name="_Toc15377217"/>
      <w:r>
        <w:rPr>
          <w:rFonts w:hint="default" w:ascii="Times New Roman" w:hAnsi="Times New Roman" w:eastAsia="楷体_GB2312" w:cs="Times New Roman"/>
          <w:b/>
          <w:color w:val="auto"/>
          <w:sz w:val="32"/>
          <w:szCs w:val="32"/>
          <w:highlight w:val="none"/>
        </w:rPr>
        <w:t>（二）“三公”经费财政拨款支出决算具体情况说明</w:t>
      </w:r>
      <w:bookmarkEnd w:id="40"/>
    </w:p>
    <w:p w14:paraId="07D1E851">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2024年度“三公”经费财政拨款支出决算中，因公出国（境）费支出决算</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万元，占0%；公务用车购置及运行维护费支出决算</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万元，占</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%；公务接待费支出决算</w:t>
      </w:r>
      <w:r>
        <w:rPr>
          <w:rFonts w:hint="default" w:ascii="Times New Roman" w:hAnsi="Times New Roman" w:eastAsia="仿宋_GB2312" w:cs="Times New Roman"/>
          <w:sz w:val="32"/>
          <w:szCs w:val="32"/>
        </w:rPr>
        <w:t>0.29</w:t>
      </w:r>
      <w:r>
        <w:rPr>
          <w:rFonts w:hint="default" w:ascii="Times New Roman" w:hAnsi="Times New Roman" w:eastAsia="仿宋_GB2312" w:cs="Times New Roman"/>
          <w:color w:val="auto"/>
          <w:kern w:val="2"/>
          <w:sz w:val="32"/>
          <w:szCs w:val="32"/>
          <w:highlight w:val="none"/>
          <w:lang w:val="en-US" w:eastAsia="zh-CN" w:bidi="ar-SA"/>
        </w:rPr>
        <w:t>万元，占</w:t>
      </w:r>
      <w:r>
        <w:rPr>
          <w:rFonts w:hint="default" w:ascii="Times New Roman" w:hAnsi="Times New Roman" w:eastAsia="仿宋_GB2312" w:cs="Times New Roman"/>
          <w:sz w:val="32"/>
          <w:szCs w:val="32"/>
          <w:lang w:val="en-US" w:eastAsia="zh-CN"/>
        </w:rPr>
        <w:t>100</w:t>
      </w:r>
      <w:r>
        <w:rPr>
          <w:rFonts w:hint="default" w:ascii="Times New Roman" w:hAnsi="Times New Roman" w:eastAsia="仿宋_GB2312" w:cs="Times New Roman"/>
          <w:color w:val="auto"/>
          <w:kern w:val="2"/>
          <w:sz w:val="32"/>
          <w:szCs w:val="32"/>
          <w:highlight w:val="none"/>
          <w:lang w:val="en-US" w:eastAsia="zh-CN" w:bidi="ar-SA"/>
        </w:rPr>
        <w:t>%。具体情况如下：</w:t>
      </w:r>
    </w:p>
    <w:p w14:paraId="4693D121">
      <w:pPr>
        <w:pStyle w:val="2"/>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cs="Times New Roman"/>
        </w:rPr>
        <w:drawing>
          <wp:anchor distT="0" distB="0" distL="114300" distR="114300" simplePos="0" relativeHeight="251665408" behindDoc="0" locked="0" layoutInCell="1" allowOverlap="1">
            <wp:simplePos x="0" y="0"/>
            <wp:positionH relativeFrom="column">
              <wp:posOffset>750570</wp:posOffset>
            </wp:positionH>
            <wp:positionV relativeFrom="paragraph">
              <wp:posOffset>113665</wp:posOffset>
            </wp:positionV>
            <wp:extent cx="3752850" cy="2547620"/>
            <wp:effectExtent l="4445" t="4445" r="14605" b="19685"/>
            <wp:wrapTopAndBottom/>
            <wp:docPr id="9"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r>
        <w:rPr>
          <w:rFonts w:hint="default" w:ascii="Times New Roman" w:hAnsi="Times New Roman" w:cs="Times New Roman"/>
          <w:lang w:val="en-US" w:eastAsia="zh-CN"/>
        </w:rPr>
        <w:t xml:space="preserve">        </w:t>
      </w:r>
      <w:r>
        <w:rPr>
          <w:rFonts w:hint="default" w:ascii="Times New Roman" w:hAnsi="Times New Roman" w:eastAsia="仿宋_GB2312" w:cs="Times New Roman"/>
          <w:color w:val="auto"/>
          <w:kern w:val="2"/>
          <w:sz w:val="32"/>
          <w:szCs w:val="32"/>
          <w:highlight w:val="none"/>
          <w:lang w:val="en-US" w:eastAsia="zh-CN" w:bidi="ar-SA"/>
        </w:rPr>
        <w:t>（图7：“三公”经费财政拨款支出结构）</w:t>
      </w:r>
      <w:r>
        <w:rPr>
          <w:rFonts w:hint="default" w:ascii="Times New Roman" w:hAnsi="Times New Roman" w:cs="Times New Roman"/>
          <w:color w:val="auto"/>
          <w:kern w:val="2"/>
          <w:sz w:val="32"/>
          <w:szCs w:val="32"/>
          <w:highlight w:val="none"/>
          <w:lang w:val="en-US" w:eastAsia="zh-CN" w:bidi="ar-SA"/>
        </w:rPr>
        <w:t xml:space="preserve"> </w:t>
      </w:r>
    </w:p>
    <w:p w14:paraId="2CE94CB8">
      <w:pPr>
        <w:spacing w:line="600" w:lineRule="exact"/>
        <w:ind w:firstLine="640"/>
        <w:rPr>
          <w:rFonts w:hint="default" w:ascii="Times New Roman" w:hAnsi="Times New Roman" w:eastAsia="仿宋_GB2312" w:cs="Times New Roman"/>
          <w:b/>
          <w:sz w:val="32"/>
          <w:szCs w:val="32"/>
        </w:rPr>
      </w:pPr>
      <w:r>
        <w:rPr>
          <w:rFonts w:hint="default" w:ascii="Times New Roman" w:hAnsi="Times New Roman" w:eastAsia="仿宋_GB2312" w:cs="Times New Roman"/>
          <w:b/>
          <w:bCs/>
          <w:color w:val="auto"/>
          <w:kern w:val="2"/>
          <w:sz w:val="32"/>
          <w:szCs w:val="32"/>
          <w:highlight w:val="none"/>
          <w:lang w:val="en-US" w:eastAsia="zh-CN" w:bidi="ar-SA"/>
        </w:rPr>
        <w:t>1.因公出国（境）经费支出0万元，完成预算0%。</w:t>
      </w:r>
      <w:r>
        <w:rPr>
          <w:rFonts w:hint="default" w:ascii="Times New Roman" w:hAnsi="Times New Roman" w:eastAsia="仿宋_GB2312" w:cs="Times New Roman"/>
          <w:color w:val="auto"/>
          <w:kern w:val="2"/>
          <w:sz w:val="32"/>
          <w:szCs w:val="32"/>
          <w:highlight w:val="none"/>
          <w:lang w:val="en-US" w:eastAsia="zh-CN" w:bidi="ar-SA"/>
        </w:rPr>
        <w:t>全年安排因公出国（境）团组</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color w:val="auto"/>
          <w:kern w:val="2"/>
          <w:sz w:val="32"/>
          <w:szCs w:val="32"/>
          <w:highlight w:val="none"/>
          <w:lang w:val="en-US" w:eastAsia="zh-CN" w:bidi="ar-SA"/>
        </w:rPr>
        <w:t>次，出国（境）</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color w:val="auto"/>
          <w:kern w:val="2"/>
          <w:sz w:val="32"/>
          <w:szCs w:val="32"/>
          <w:highlight w:val="none"/>
          <w:lang w:val="en-US" w:eastAsia="zh-CN" w:bidi="ar-SA"/>
        </w:rPr>
        <w:t>人。</w:t>
      </w:r>
      <w:r>
        <w:rPr>
          <w:rFonts w:hint="default" w:ascii="Times New Roman" w:hAnsi="Times New Roman" w:eastAsia="仿宋_GB2312" w:cs="Times New Roman"/>
          <w:sz w:val="32"/>
          <w:szCs w:val="32"/>
        </w:rPr>
        <w:t>因公出国（境）支出决算与20</w:t>
      </w:r>
      <w:r>
        <w:rPr>
          <w:rFonts w:hint="default" w:ascii="Times New Roman" w:hAnsi="Times New Roman" w:eastAsia="仿宋_GB2312" w:cs="Times New Roman"/>
          <w:sz w:val="32"/>
          <w:szCs w:val="32"/>
          <w:lang w:val="en-US" w:eastAsia="zh-CN"/>
        </w:rPr>
        <w:t>23</w:t>
      </w:r>
      <w:r>
        <w:rPr>
          <w:rFonts w:hint="default" w:ascii="Times New Roman" w:hAnsi="Times New Roman" w:eastAsia="仿宋_GB2312" w:cs="Times New Roman"/>
          <w:sz w:val="32"/>
          <w:szCs w:val="32"/>
        </w:rPr>
        <w:t>年持平。主要原因是未产生因公出国（境）经费支出。</w:t>
      </w:r>
    </w:p>
    <w:p w14:paraId="0D5816C1">
      <w:pPr>
        <w:spacing w:line="600" w:lineRule="exact"/>
        <w:ind w:firstLine="640"/>
        <w:rPr>
          <w:rFonts w:hint="default" w:ascii="Times New Roman" w:hAnsi="Times New Roman" w:eastAsia="仿宋_GB2312" w:cs="Times New Roman"/>
          <w:b/>
          <w:sz w:val="32"/>
          <w:szCs w:val="32"/>
        </w:rPr>
      </w:pPr>
      <w:r>
        <w:rPr>
          <w:rFonts w:hint="default" w:ascii="Times New Roman" w:hAnsi="Times New Roman" w:eastAsia="仿宋_GB2312" w:cs="Times New Roman"/>
          <w:b/>
          <w:bCs/>
          <w:color w:val="auto"/>
          <w:kern w:val="2"/>
          <w:sz w:val="32"/>
          <w:szCs w:val="32"/>
          <w:highlight w:val="none"/>
          <w:lang w:val="en-US" w:eastAsia="zh-CN" w:bidi="ar-SA"/>
        </w:rPr>
        <w:t>2.公务用车购置及运行维护费支出0万元，完成预算0%。</w:t>
      </w:r>
      <w:r>
        <w:rPr>
          <w:rFonts w:hint="default" w:ascii="Times New Roman" w:hAnsi="Times New Roman" w:eastAsia="仿宋_GB2312" w:cs="Times New Roman"/>
          <w:sz w:val="32"/>
          <w:szCs w:val="32"/>
        </w:rPr>
        <w:t>公务用车购置及运行维护费支出决算与202</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年持平。主要原因是单位没有公务用车，未产生公务用车购置及运行维护费支出。</w:t>
      </w:r>
    </w:p>
    <w:p w14:paraId="29038A8D">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其中：公务用车购置支出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color w:val="auto"/>
          <w:kern w:val="2"/>
          <w:sz w:val="32"/>
          <w:szCs w:val="32"/>
          <w:highlight w:val="none"/>
          <w:lang w:val="en-US" w:eastAsia="zh-CN" w:bidi="ar-SA"/>
        </w:rPr>
        <w:t>万元。全年按规定更新购置公务用车0辆，其中：轿车0辆、金额0万元，越野车0辆、金额0万元，载客汽车0辆、金额0万元。截至2024年12月31日，单位共有公务用车0辆，其中：轿车0辆、越野车0辆、载客汽车0辆。</w:t>
      </w:r>
    </w:p>
    <w:p w14:paraId="68223D99">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公务用车运行维护费支出</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万元。</w:t>
      </w:r>
    </w:p>
    <w:p w14:paraId="69E2EEE2">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b/>
          <w:bCs/>
          <w:color w:val="auto"/>
          <w:kern w:val="2"/>
          <w:sz w:val="32"/>
          <w:szCs w:val="32"/>
          <w:highlight w:val="none"/>
          <w:lang w:val="en-US" w:eastAsia="zh-CN" w:bidi="ar-SA"/>
        </w:rPr>
        <w:t>3.公务接待费支出0.29万元，完成预算100%。</w:t>
      </w:r>
      <w:r>
        <w:rPr>
          <w:rFonts w:hint="default" w:ascii="Times New Roman" w:hAnsi="Times New Roman" w:eastAsia="仿宋_GB2312" w:cs="Times New Roman"/>
          <w:color w:val="auto"/>
          <w:kern w:val="2"/>
          <w:sz w:val="32"/>
          <w:szCs w:val="32"/>
          <w:highlight w:val="none"/>
          <w:lang w:val="en-US" w:eastAsia="zh-CN" w:bidi="ar-SA"/>
        </w:rPr>
        <w:t>公务接待费支出决算比2023年度增加0.14万元，增长93.33%。主要原因是接待人次的增加。其中：</w:t>
      </w:r>
    </w:p>
    <w:p w14:paraId="307751A2">
      <w:pPr>
        <w:spacing w:line="600" w:lineRule="exact"/>
        <w:ind w:firstLine="64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kern w:val="2"/>
          <w:sz w:val="32"/>
          <w:szCs w:val="32"/>
          <w:highlight w:val="none"/>
          <w:lang w:val="en-US" w:eastAsia="zh-CN" w:bidi="ar-SA"/>
        </w:rPr>
        <w:t>国内公务接待支出</w:t>
      </w:r>
      <w:r>
        <w:rPr>
          <w:rFonts w:hint="default" w:ascii="Times New Roman" w:hAnsi="Times New Roman" w:eastAsia="仿宋_GB2312" w:cs="Times New Roman"/>
          <w:sz w:val="32"/>
          <w:szCs w:val="32"/>
        </w:rPr>
        <w:t>0.29</w:t>
      </w:r>
      <w:r>
        <w:rPr>
          <w:rFonts w:hint="default" w:ascii="Times New Roman" w:hAnsi="Times New Roman" w:eastAsia="仿宋_GB2312" w:cs="Times New Roman"/>
          <w:color w:val="auto"/>
          <w:kern w:val="2"/>
          <w:sz w:val="32"/>
          <w:szCs w:val="32"/>
          <w:highlight w:val="none"/>
          <w:lang w:val="en-US" w:eastAsia="zh-CN" w:bidi="ar-SA"/>
        </w:rPr>
        <w:t>万元，</w:t>
      </w:r>
      <w:r>
        <w:rPr>
          <w:rFonts w:hint="default" w:ascii="Times New Roman" w:hAnsi="Times New Roman" w:eastAsia="仿宋_GB2312" w:cs="Times New Roman"/>
          <w:color w:val="auto"/>
          <w:sz w:val="32"/>
          <w:szCs w:val="32"/>
          <w:highlight w:val="none"/>
        </w:rPr>
        <w:t>主要用</w:t>
      </w:r>
      <w:r>
        <w:rPr>
          <w:rFonts w:hint="default" w:ascii="Times New Roman" w:hAnsi="Times New Roman" w:eastAsia="仿宋_GB2312" w:cs="Times New Roman"/>
          <w:color w:val="auto"/>
          <w:sz w:val="32"/>
          <w:szCs w:val="32"/>
          <w:highlight w:val="none"/>
          <w:lang w:val="en-US" w:eastAsia="zh-CN"/>
        </w:rPr>
        <w:t>于国内公务接待</w:t>
      </w:r>
      <w:r>
        <w:rPr>
          <w:rFonts w:hint="default" w:ascii="Times New Roman" w:hAnsi="Times New Roman" w:eastAsia="仿宋_GB2312" w:cs="Times New Roman"/>
          <w:color w:val="auto"/>
          <w:sz w:val="32"/>
          <w:szCs w:val="32"/>
          <w:highlight w:val="none"/>
        </w:rPr>
        <w:t>用餐费。国内公务接待2批次，</w:t>
      </w:r>
      <w:r>
        <w:rPr>
          <w:rFonts w:hint="default" w:ascii="Times New Roman" w:hAnsi="Times New Roman" w:eastAsia="仿宋_GB2312" w:cs="Times New Roman"/>
          <w:color w:val="auto"/>
          <w:sz w:val="32"/>
          <w:szCs w:val="32"/>
          <w:highlight w:val="none"/>
          <w:lang w:val="en-US" w:eastAsia="zh-CN"/>
        </w:rPr>
        <w:t>27</w:t>
      </w:r>
      <w:r>
        <w:rPr>
          <w:rFonts w:hint="default" w:ascii="Times New Roman" w:hAnsi="Times New Roman" w:eastAsia="仿宋_GB2312" w:cs="Times New Roman"/>
          <w:color w:val="auto"/>
          <w:sz w:val="32"/>
          <w:szCs w:val="32"/>
          <w:highlight w:val="none"/>
        </w:rPr>
        <w:t>人次（不包括陪同人员），共计支出</w:t>
      </w:r>
      <w:r>
        <w:rPr>
          <w:rFonts w:hint="default" w:ascii="Times New Roman" w:hAnsi="Times New Roman" w:eastAsia="仿宋_GB2312" w:cs="Times New Roman"/>
          <w:color w:val="auto"/>
          <w:sz w:val="32"/>
          <w:szCs w:val="32"/>
          <w:highlight w:val="none"/>
          <w:lang w:val="en-US" w:eastAsia="zh-CN"/>
        </w:rPr>
        <w:t>0.29</w:t>
      </w:r>
      <w:r>
        <w:rPr>
          <w:rFonts w:hint="default" w:ascii="Times New Roman" w:hAnsi="Times New Roman" w:eastAsia="仿宋_GB2312" w:cs="Times New Roman"/>
          <w:color w:val="auto"/>
          <w:sz w:val="32"/>
          <w:szCs w:val="32"/>
          <w:highlight w:val="none"/>
        </w:rPr>
        <w:t>万元，具体内容包括：接待</w:t>
      </w:r>
      <w:r>
        <w:rPr>
          <w:rFonts w:hint="default" w:ascii="Times New Roman" w:hAnsi="Times New Roman" w:eastAsia="仿宋_GB2312" w:cs="Times New Roman"/>
          <w:color w:val="auto"/>
          <w:sz w:val="32"/>
          <w:szCs w:val="32"/>
          <w:highlight w:val="none"/>
          <w:lang w:val="en-US" w:eastAsia="zh-CN"/>
        </w:rPr>
        <w:t>2024年度公招笔试攀枝花考区</w:t>
      </w:r>
      <w:r>
        <w:rPr>
          <w:rFonts w:hint="default" w:ascii="Times New Roman" w:hAnsi="Times New Roman" w:eastAsia="仿宋_GB2312" w:cs="Times New Roman"/>
          <w:color w:val="auto"/>
          <w:sz w:val="32"/>
          <w:szCs w:val="32"/>
          <w:highlight w:val="none"/>
        </w:rPr>
        <w:t>督考</w:t>
      </w:r>
      <w:r>
        <w:rPr>
          <w:rFonts w:hint="default" w:ascii="Times New Roman" w:hAnsi="Times New Roman" w:eastAsia="仿宋_GB2312" w:cs="Times New Roman"/>
          <w:color w:val="auto"/>
          <w:sz w:val="32"/>
          <w:szCs w:val="32"/>
          <w:highlight w:val="none"/>
          <w:lang w:val="en-US" w:eastAsia="zh-CN"/>
        </w:rPr>
        <w:t>人员用餐费0.08</w:t>
      </w:r>
      <w:r>
        <w:rPr>
          <w:rFonts w:hint="default" w:ascii="Times New Roman" w:hAnsi="Times New Roman" w:eastAsia="仿宋_GB2312" w:cs="Times New Roman"/>
          <w:color w:val="auto"/>
          <w:sz w:val="32"/>
          <w:szCs w:val="32"/>
          <w:highlight w:val="none"/>
        </w:rPr>
        <w:t>万元</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赴攀参加防高科技作弊交流座谈会人员</w:t>
      </w:r>
      <w:r>
        <w:rPr>
          <w:rFonts w:hint="default" w:ascii="Times New Roman" w:hAnsi="Times New Roman" w:eastAsia="仿宋_GB2312" w:cs="Times New Roman"/>
          <w:color w:val="auto"/>
          <w:sz w:val="32"/>
          <w:szCs w:val="32"/>
          <w:highlight w:val="none"/>
        </w:rPr>
        <w:t>用餐费</w:t>
      </w:r>
      <w:r>
        <w:rPr>
          <w:rFonts w:hint="default" w:ascii="Times New Roman" w:hAnsi="Times New Roman" w:eastAsia="仿宋_GB2312" w:cs="Times New Roman"/>
          <w:color w:val="auto"/>
          <w:sz w:val="32"/>
          <w:szCs w:val="32"/>
          <w:highlight w:val="none"/>
          <w:lang w:val="en-US" w:eastAsia="zh-CN"/>
        </w:rPr>
        <w:t>0.21</w:t>
      </w:r>
      <w:r>
        <w:rPr>
          <w:rFonts w:hint="default" w:ascii="Times New Roman" w:hAnsi="Times New Roman" w:eastAsia="仿宋_GB2312" w:cs="Times New Roman"/>
          <w:color w:val="auto"/>
          <w:sz w:val="32"/>
          <w:szCs w:val="32"/>
          <w:highlight w:val="none"/>
        </w:rPr>
        <w:t>万元。</w:t>
      </w:r>
    </w:p>
    <w:p w14:paraId="5E2F4612">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外事接待支出</w:t>
      </w:r>
      <w:r>
        <w:rPr>
          <w:rFonts w:hint="default" w:ascii="Times New Roman" w:hAnsi="Times New Roman" w:eastAsia="仿宋_GB2312" w:cs="Times New Roman"/>
          <w:color w:val="auto"/>
          <w:sz w:val="32"/>
          <w:szCs w:val="32"/>
          <w:highlight w:val="none"/>
          <w:lang w:val="en-US" w:eastAsia="zh-CN"/>
        </w:rPr>
        <w:t>0</w:t>
      </w:r>
      <w:r>
        <w:rPr>
          <w:rFonts w:hint="default" w:ascii="Times New Roman" w:hAnsi="Times New Roman" w:eastAsia="仿宋_GB2312" w:cs="Times New Roman"/>
          <w:color w:val="auto"/>
          <w:kern w:val="2"/>
          <w:sz w:val="32"/>
          <w:szCs w:val="32"/>
          <w:highlight w:val="none"/>
          <w:lang w:val="en-US" w:eastAsia="zh-CN" w:bidi="ar-SA"/>
        </w:rPr>
        <w:t>万元。外事接待</w:t>
      </w:r>
      <w:r>
        <w:rPr>
          <w:rFonts w:hint="default" w:ascii="Times New Roman" w:hAnsi="Times New Roman" w:eastAsia="仿宋_GB2312" w:cs="Times New Roman"/>
          <w:color w:val="auto"/>
          <w:sz w:val="32"/>
          <w:szCs w:val="32"/>
          <w:highlight w:val="none"/>
          <w:lang w:val="en-US" w:eastAsia="zh-CN"/>
        </w:rPr>
        <w:t>0</w:t>
      </w:r>
      <w:r>
        <w:rPr>
          <w:rFonts w:hint="default" w:ascii="Times New Roman" w:hAnsi="Times New Roman" w:eastAsia="仿宋_GB2312" w:cs="Times New Roman"/>
          <w:color w:val="auto"/>
          <w:kern w:val="2"/>
          <w:sz w:val="32"/>
          <w:szCs w:val="32"/>
          <w:highlight w:val="none"/>
          <w:lang w:val="en-US" w:eastAsia="zh-CN" w:bidi="ar-SA"/>
        </w:rPr>
        <w:t>批次，</w:t>
      </w:r>
      <w:r>
        <w:rPr>
          <w:rFonts w:hint="default" w:ascii="Times New Roman" w:hAnsi="Times New Roman" w:eastAsia="仿宋_GB2312" w:cs="Times New Roman"/>
          <w:color w:val="auto"/>
          <w:sz w:val="32"/>
          <w:szCs w:val="32"/>
          <w:highlight w:val="none"/>
          <w:lang w:val="en-US" w:eastAsia="zh-CN"/>
        </w:rPr>
        <w:t>0</w:t>
      </w:r>
      <w:r>
        <w:rPr>
          <w:rFonts w:hint="default" w:ascii="Times New Roman" w:hAnsi="Times New Roman" w:eastAsia="仿宋_GB2312" w:cs="Times New Roman"/>
          <w:color w:val="auto"/>
          <w:kern w:val="2"/>
          <w:sz w:val="32"/>
          <w:szCs w:val="32"/>
          <w:highlight w:val="none"/>
          <w:lang w:val="en-US" w:eastAsia="zh-CN" w:bidi="ar-SA"/>
        </w:rPr>
        <w:t>人次（不包括陪同人员），共计支出</w:t>
      </w:r>
      <w:r>
        <w:rPr>
          <w:rFonts w:hint="default" w:ascii="Times New Roman" w:hAnsi="Times New Roman" w:eastAsia="仿宋_GB2312" w:cs="Times New Roman"/>
          <w:color w:val="auto"/>
          <w:sz w:val="32"/>
          <w:szCs w:val="32"/>
          <w:highlight w:val="none"/>
          <w:lang w:val="en-US" w:eastAsia="zh-CN"/>
        </w:rPr>
        <w:t>0</w:t>
      </w:r>
      <w:r>
        <w:rPr>
          <w:rFonts w:hint="default" w:ascii="Times New Roman" w:hAnsi="Times New Roman" w:eastAsia="仿宋_GB2312" w:cs="Times New Roman"/>
          <w:color w:val="auto"/>
          <w:kern w:val="2"/>
          <w:sz w:val="32"/>
          <w:szCs w:val="32"/>
          <w:highlight w:val="none"/>
          <w:lang w:val="en-US" w:eastAsia="zh-CN" w:bidi="ar-SA"/>
        </w:rPr>
        <w:t>万元。</w:t>
      </w:r>
    </w:p>
    <w:p w14:paraId="27B40F90">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bookmarkStart w:id="41" w:name="_Toc15396610"/>
      <w:bookmarkStart w:id="42" w:name="_Toc15377218"/>
    </w:p>
    <w:p w14:paraId="7F9BDA5D">
      <w:pPr>
        <w:spacing w:line="600" w:lineRule="exact"/>
        <w:ind w:firstLine="640"/>
        <w:outlineLvl w:val="1"/>
        <w:rPr>
          <w:rStyle w:val="29"/>
          <w:rFonts w:hint="default" w:ascii="Times New Roman" w:hAnsi="Times New Roman" w:eastAsia="黑体" w:cs="Times New Roman"/>
          <w:color w:val="auto"/>
          <w:highlight w:val="none"/>
        </w:rPr>
      </w:pPr>
      <w:r>
        <w:rPr>
          <w:rFonts w:hint="default" w:ascii="Times New Roman" w:hAnsi="Times New Roman" w:eastAsia="黑体" w:cs="Times New Roman"/>
          <w:color w:val="auto"/>
          <w:sz w:val="32"/>
          <w:szCs w:val="32"/>
          <w:highlight w:val="none"/>
        </w:rPr>
        <w:t>八、</w:t>
      </w:r>
      <w:r>
        <w:rPr>
          <w:rStyle w:val="29"/>
          <w:rFonts w:hint="default" w:ascii="Times New Roman" w:hAnsi="Times New Roman" w:eastAsia="黑体" w:cs="Times New Roman"/>
          <w:b w:val="0"/>
          <w:color w:val="auto"/>
          <w:highlight w:val="none"/>
        </w:rPr>
        <w:t>政府性基金预算支出决算情况说明</w:t>
      </w:r>
      <w:bookmarkEnd w:id="41"/>
      <w:bookmarkEnd w:id="42"/>
    </w:p>
    <w:p w14:paraId="73BB73D2">
      <w:pPr>
        <w:numPr>
          <w:ilvl w:val="0"/>
          <w:numId w:val="0"/>
        </w:numPr>
        <w:spacing w:line="600" w:lineRule="exact"/>
        <w:ind w:firstLine="640" w:firstLineChars="200"/>
        <w:outlineLvl w:val="1"/>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2024年度政府性基金预算财政拨款支出</w:t>
      </w:r>
      <w:r>
        <w:rPr>
          <w:rFonts w:hint="default" w:ascii="Times New Roman" w:hAnsi="Times New Roman" w:eastAsia="仿宋_GB2312" w:cs="Times New Roman"/>
          <w:color w:val="auto"/>
          <w:sz w:val="32"/>
          <w:szCs w:val="32"/>
          <w:highlight w:val="none"/>
          <w:lang w:val="en-US" w:eastAsia="zh-CN"/>
        </w:rPr>
        <w:t>0</w:t>
      </w:r>
      <w:r>
        <w:rPr>
          <w:rFonts w:hint="default" w:ascii="Times New Roman" w:hAnsi="Times New Roman" w:eastAsia="仿宋_GB2312" w:cs="Times New Roman"/>
          <w:color w:val="auto"/>
          <w:kern w:val="2"/>
          <w:sz w:val="32"/>
          <w:szCs w:val="32"/>
          <w:highlight w:val="none"/>
          <w:lang w:val="en-US" w:eastAsia="zh-CN" w:bidi="ar-SA"/>
        </w:rPr>
        <w:t>万元，占本年支出合计的</w:t>
      </w:r>
      <w:r>
        <w:rPr>
          <w:rFonts w:hint="default" w:ascii="Times New Roman" w:hAnsi="Times New Roman" w:eastAsia="仿宋_GB2312" w:cs="Times New Roman"/>
          <w:color w:val="auto"/>
          <w:sz w:val="32"/>
          <w:szCs w:val="32"/>
          <w:highlight w:val="none"/>
          <w:lang w:val="en-US" w:eastAsia="zh-CN"/>
        </w:rPr>
        <w:t>0</w:t>
      </w:r>
      <w:r>
        <w:rPr>
          <w:rFonts w:hint="default" w:ascii="Times New Roman" w:hAnsi="Times New Roman" w:eastAsia="仿宋_GB2312" w:cs="Times New Roman"/>
          <w:color w:val="auto"/>
          <w:kern w:val="2"/>
          <w:sz w:val="32"/>
          <w:szCs w:val="32"/>
          <w:highlight w:val="none"/>
          <w:lang w:val="en-US" w:eastAsia="zh-CN" w:bidi="ar-SA"/>
        </w:rPr>
        <w:t>%。</w:t>
      </w:r>
      <w:bookmarkStart w:id="43" w:name="_Toc15396611"/>
      <w:bookmarkStart w:id="44" w:name="_Toc15377219"/>
    </w:p>
    <w:p w14:paraId="428551FF">
      <w:pPr>
        <w:numPr>
          <w:ilvl w:val="0"/>
          <w:numId w:val="0"/>
        </w:numPr>
        <w:spacing w:line="600" w:lineRule="exact"/>
        <w:ind w:left="630" w:leftChars="0"/>
        <w:outlineLvl w:val="1"/>
        <w:rPr>
          <w:rFonts w:hint="default" w:ascii="Times New Roman" w:hAnsi="Times New Roman" w:eastAsia="仿宋_GB2312" w:cs="Times New Roman"/>
          <w:color w:val="auto"/>
          <w:kern w:val="2"/>
          <w:sz w:val="32"/>
          <w:szCs w:val="32"/>
          <w:highlight w:val="none"/>
          <w:lang w:val="en-US" w:eastAsia="zh-CN" w:bidi="ar-SA"/>
        </w:rPr>
      </w:pPr>
    </w:p>
    <w:p w14:paraId="1D191D81">
      <w:pPr>
        <w:numPr>
          <w:ilvl w:val="0"/>
          <w:numId w:val="0"/>
        </w:numPr>
        <w:spacing w:line="600" w:lineRule="exact"/>
        <w:ind w:left="630" w:leftChars="0"/>
        <w:outlineLvl w:val="1"/>
        <w:rPr>
          <w:rStyle w:val="29"/>
          <w:rFonts w:hint="default" w:ascii="Times New Roman" w:hAnsi="Times New Roman" w:eastAsia="黑体" w:cs="Times New Roman"/>
          <w:b w:val="0"/>
          <w:color w:val="auto"/>
          <w:highlight w:val="none"/>
        </w:rPr>
      </w:pPr>
      <w:r>
        <w:rPr>
          <w:rStyle w:val="29"/>
          <w:rFonts w:hint="default" w:ascii="Times New Roman" w:hAnsi="Times New Roman" w:eastAsia="黑体" w:cs="Times New Roman"/>
          <w:b w:val="0"/>
          <w:color w:val="auto"/>
          <w:highlight w:val="none"/>
          <w:lang w:eastAsia="zh-CN"/>
        </w:rPr>
        <w:t>九、</w:t>
      </w:r>
      <w:r>
        <w:rPr>
          <w:rStyle w:val="29"/>
          <w:rFonts w:hint="default" w:ascii="Times New Roman" w:hAnsi="Times New Roman" w:eastAsia="黑体" w:cs="Times New Roman"/>
          <w:b w:val="0"/>
          <w:color w:val="auto"/>
          <w:highlight w:val="none"/>
        </w:rPr>
        <w:t>国有资本经营预算支出决算情况说明</w:t>
      </w:r>
      <w:bookmarkEnd w:id="43"/>
      <w:bookmarkEnd w:id="44"/>
    </w:p>
    <w:p w14:paraId="35F94F01">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2024年度国有资本经营预算财政拨款支出</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万元，占本年支出合计的</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w:t>
      </w:r>
    </w:p>
    <w:p w14:paraId="7EFA8F8A">
      <w:pPr>
        <w:pStyle w:val="2"/>
        <w:rPr>
          <w:rFonts w:hint="default" w:ascii="Times New Roman" w:hAnsi="Times New Roman" w:cs="Times New Roman"/>
          <w:lang w:val="en-US" w:eastAsia="zh-CN"/>
        </w:rPr>
      </w:pPr>
    </w:p>
    <w:p w14:paraId="4409E9C8">
      <w:pPr>
        <w:numPr>
          <w:ilvl w:val="0"/>
          <w:numId w:val="0"/>
        </w:numPr>
        <w:spacing w:line="600" w:lineRule="exact"/>
        <w:ind w:firstLine="640" w:firstLineChars="200"/>
        <w:outlineLvl w:val="1"/>
        <w:rPr>
          <w:rStyle w:val="29"/>
          <w:rFonts w:hint="default" w:ascii="Times New Roman" w:hAnsi="Times New Roman" w:eastAsia="黑体" w:cs="Times New Roman"/>
          <w:b w:val="0"/>
          <w:color w:val="auto"/>
          <w:highlight w:val="none"/>
        </w:rPr>
      </w:pPr>
      <w:bookmarkStart w:id="45" w:name="_Toc15396612"/>
      <w:bookmarkStart w:id="46" w:name="_Toc15377221"/>
      <w:r>
        <w:rPr>
          <w:rStyle w:val="29"/>
          <w:rFonts w:hint="default" w:ascii="Times New Roman" w:hAnsi="Times New Roman" w:eastAsia="黑体" w:cs="Times New Roman"/>
          <w:b w:val="0"/>
          <w:color w:val="auto"/>
          <w:highlight w:val="none"/>
          <w:lang w:eastAsia="zh-CN"/>
        </w:rPr>
        <w:t>十、</w:t>
      </w:r>
      <w:r>
        <w:rPr>
          <w:rStyle w:val="29"/>
          <w:rFonts w:hint="default" w:ascii="Times New Roman" w:hAnsi="Times New Roman" w:eastAsia="黑体" w:cs="Times New Roman"/>
          <w:b w:val="0"/>
          <w:color w:val="auto"/>
          <w:highlight w:val="none"/>
        </w:rPr>
        <w:t>其他重要事项的情况说明</w:t>
      </w:r>
      <w:bookmarkEnd w:id="45"/>
      <w:bookmarkEnd w:id="46"/>
    </w:p>
    <w:p w14:paraId="058F1CA3">
      <w:pPr>
        <w:spacing w:line="600" w:lineRule="exact"/>
        <w:ind w:firstLine="643" w:firstLineChars="200"/>
        <w:outlineLvl w:val="2"/>
        <w:rPr>
          <w:rFonts w:hint="default" w:ascii="Times New Roman" w:hAnsi="Times New Roman" w:eastAsia="楷体_GB2312" w:cs="Times New Roman"/>
          <w:b/>
          <w:color w:val="auto"/>
          <w:sz w:val="32"/>
          <w:szCs w:val="32"/>
          <w:highlight w:val="none"/>
        </w:rPr>
      </w:pPr>
      <w:bookmarkStart w:id="47" w:name="_Toc15377222"/>
      <w:r>
        <w:rPr>
          <w:rFonts w:hint="default" w:ascii="Times New Roman" w:hAnsi="Times New Roman" w:eastAsia="楷体_GB2312" w:cs="Times New Roman"/>
          <w:b/>
          <w:color w:val="auto"/>
          <w:sz w:val="32"/>
          <w:szCs w:val="32"/>
          <w:highlight w:val="none"/>
        </w:rPr>
        <w:t>（一）机关运行经费支出情况</w:t>
      </w:r>
      <w:bookmarkEnd w:id="47"/>
    </w:p>
    <w:p w14:paraId="0E06A185">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color w:val="auto"/>
          <w:kern w:val="2"/>
          <w:sz w:val="32"/>
          <w:szCs w:val="32"/>
          <w:highlight w:val="none"/>
          <w:lang w:val="en-US" w:eastAsia="zh-CN" w:bidi="ar-SA"/>
        </w:rPr>
        <w:t>2024年度，</w:t>
      </w:r>
      <w:r>
        <w:rPr>
          <w:rFonts w:hint="default" w:ascii="Times New Roman" w:hAnsi="Times New Roman" w:eastAsia="仿宋_GB2312" w:cs="Times New Roman"/>
          <w:sz w:val="32"/>
          <w:szCs w:val="32"/>
          <w:lang w:val="en-US" w:eastAsia="zh-CN"/>
        </w:rPr>
        <w:t>我单位</w:t>
      </w:r>
      <w:r>
        <w:rPr>
          <w:rFonts w:hint="default" w:ascii="Times New Roman" w:hAnsi="Times New Roman" w:eastAsia="仿宋_GB2312" w:cs="Times New Roman"/>
          <w:color w:val="auto"/>
          <w:kern w:val="2"/>
          <w:sz w:val="32"/>
          <w:szCs w:val="32"/>
          <w:highlight w:val="none"/>
          <w:lang w:val="en-US" w:eastAsia="zh-CN" w:bidi="ar-SA"/>
        </w:rPr>
        <w:t>机关运行经费支出</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万元，</w:t>
      </w:r>
      <w:r>
        <w:rPr>
          <w:rFonts w:hint="default" w:ascii="Times New Roman" w:hAnsi="Times New Roman" w:eastAsia="仿宋_GB2312" w:cs="Times New Roman"/>
          <w:sz w:val="32"/>
          <w:szCs w:val="32"/>
        </w:rPr>
        <w:t>主要原因是我单位为市人力资源社会保障局下属事业单位，</w:t>
      </w:r>
      <w:r>
        <w:rPr>
          <w:rFonts w:hint="default" w:ascii="Times New Roman" w:hAnsi="Times New Roman" w:eastAsia="仿宋_GB2312" w:cs="Times New Roman"/>
          <w:sz w:val="32"/>
          <w:szCs w:val="32"/>
          <w:lang w:val="en-US" w:eastAsia="zh-CN"/>
        </w:rPr>
        <w:t>无</w:t>
      </w:r>
      <w:r>
        <w:rPr>
          <w:rFonts w:hint="default" w:ascii="Times New Roman" w:hAnsi="Times New Roman" w:eastAsia="仿宋_GB2312" w:cs="Times New Roman"/>
          <w:sz w:val="32"/>
          <w:szCs w:val="32"/>
        </w:rPr>
        <w:t>机关运行经费。</w:t>
      </w:r>
    </w:p>
    <w:p w14:paraId="4996517F">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p>
    <w:p w14:paraId="1E727380">
      <w:pPr>
        <w:spacing w:line="600" w:lineRule="exact"/>
        <w:ind w:firstLine="643" w:firstLineChars="200"/>
        <w:outlineLvl w:val="2"/>
        <w:rPr>
          <w:rFonts w:hint="default" w:ascii="Times New Roman" w:hAnsi="Times New Roman" w:eastAsia="楷体_GB2312" w:cs="Times New Roman"/>
          <w:b/>
          <w:color w:val="auto"/>
          <w:sz w:val="32"/>
          <w:szCs w:val="32"/>
          <w:highlight w:val="none"/>
        </w:rPr>
      </w:pPr>
      <w:bookmarkStart w:id="48" w:name="_Toc15377223"/>
      <w:r>
        <w:rPr>
          <w:rFonts w:hint="default" w:ascii="Times New Roman" w:hAnsi="Times New Roman" w:eastAsia="楷体_GB2312" w:cs="Times New Roman"/>
          <w:b/>
          <w:color w:val="auto"/>
          <w:sz w:val="32"/>
          <w:szCs w:val="32"/>
          <w:highlight w:val="none"/>
        </w:rPr>
        <w:t>（二）政府采购支出情况</w:t>
      </w:r>
      <w:bookmarkEnd w:id="48"/>
    </w:p>
    <w:p w14:paraId="1F93845D">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2024年度，</w:t>
      </w:r>
      <w:r>
        <w:rPr>
          <w:rFonts w:hint="default" w:ascii="Times New Roman" w:hAnsi="Times New Roman" w:eastAsia="仿宋_GB2312" w:cs="Times New Roman"/>
          <w:sz w:val="32"/>
          <w:szCs w:val="32"/>
          <w:lang w:val="en-US" w:eastAsia="zh-CN"/>
        </w:rPr>
        <w:t>我单位</w:t>
      </w:r>
      <w:r>
        <w:rPr>
          <w:rFonts w:hint="default" w:ascii="Times New Roman" w:hAnsi="Times New Roman" w:eastAsia="仿宋_GB2312" w:cs="Times New Roman"/>
          <w:color w:val="auto"/>
          <w:kern w:val="2"/>
          <w:sz w:val="32"/>
          <w:szCs w:val="32"/>
          <w:highlight w:val="none"/>
          <w:lang w:val="en-US" w:eastAsia="zh-CN" w:bidi="ar-SA"/>
        </w:rPr>
        <w:t>政府采购支出总额</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万元，其中：政府采购货物支出</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万元、政府采购工程支出</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万元、政府采购服务支出</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万元。授予中小企业合同金额</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万元，占政府采购支出总额的</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%，其中：授予小微企业合同金额</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万元，占政府采购支出总额的</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w:t>
      </w:r>
    </w:p>
    <w:p w14:paraId="16ED4FB3">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p>
    <w:p w14:paraId="2C701896">
      <w:pPr>
        <w:spacing w:line="600" w:lineRule="exact"/>
        <w:ind w:firstLine="643" w:firstLineChars="200"/>
        <w:outlineLvl w:val="2"/>
        <w:rPr>
          <w:rFonts w:hint="default" w:ascii="Times New Roman" w:hAnsi="Times New Roman" w:eastAsia="楷体_GB2312" w:cs="Times New Roman"/>
          <w:b/>
          <w:color w:val="auto"/>
          <w:sz w:val="32"/>
          <w:szCs w:val="32"/>
          <w:highlight w:val="none"/>
        </w:rPr>
      </w:pPr>
      <w:bookmarkStart w:id="49" w:name="_Toc15377224"/>
      <w:r>
        <w:rPr>
          <w:rFonts w:hint="default" w:ascii="Times New Roman" w:hAnsi="Times New Roman" w:eastAsia="楷体_GB2312" w:cs="Times New Roman"/>
          <w:b/>
          <w:color w:val="auto"/>
          <w:sz w:val="32"/>
          <w:szCs w:val="32"/>
          <w:highlight w:val="none"/>
        </w:rPr>
        <w:t>（三）国有资产占有使用情况</w:t>
      </w:r>
      <w:bookmarkEnd w:id="49"/>
    </w:p>
    <w:p w14:paraId="27532D8F">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截至2024年12月31日，</w:t>
      </w:r>
      <w:r>
        <w:rPr>
          <w:rFonts w:hint="default" w:ascii="Times New Roman" w:hAnsi="Times New Roman" w:eastAsia="仿宋_GB2312" w:cs="Times New Roman"/>
          <w:sz w:val="32"/>
          <w:szCs w:val="32"/>
          <w:lang w:val="en-US" w:eastAsia="zh-CN"/>
        </w:rPr>
        <w:t>我单位</w:t>
      </w:r>
      <w:r>
        <w:rPr>
          <w:rFonts w:hint="default" w:ascii="Times New Roman" w:hAnsi="Times New Roman" w:eastAsia="仿宋_GB2312" w:cs="Times New Roman"/>
          <w:color w:val="auto"/>
          <w:kern w:val="2"/>
          <w:sz w:val="32"/>
          <w:szCs w:val="32"/>
          <w:highlight w:val="none"/>
          <w:lang w:val="en-US" w:eastAsia="zh-CN" w:bidi="ar-SA"/>
        </w:rPr>
        <w:t>共有车辆</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辆，其中：主要负责人用车</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辆、机要通信用车</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辆、应急保障用车</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辆、其他用车</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辆。单价100万元（含）以上设备（不含车辆）</w:t>
      </w:r>
      <w:r>
        <w:rPr>
          <w:rFonts w:hint="default" w:ascii="Times New Roman" w:hAnsi="Times New Roman" w:eastAsia="仿宋_GB2312" w:cs="Times New Roman"/>
          <w:sz w:val="32"/>
          <w:szCs w:val="32"/>
        </w:rPr>
        <w:t>0</w:t>
      </w:r>
      <w:r>
        <w:rPr>
          <w:rFonts w:hint="default" w:ascii="Times New Roman" w:hAnsi="Times New Roman" w:eastAsia="仿宋_GB2312" w:cs="Times New Roman"/>
          <w:color w:val="auto"/>
          <w:kern w:val="2"/>
          <w:sz w:val="32"/>
          <w:szCs w:val="32"/>
          <w:highlight w:val="none"/>
          <w:lang w:val="en-US" w:eastAsia="zh-CN" w:bidi="ar-SA"/>
        </w:rPr>
        <w:t>台（套）。</w:t>
      </w:r>
    </w:p>
    <w:p w14:paraId="0F8EEC6F">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p>
    <w:p w14:paraId="29C0BA77">
      <w:pPr>
        <w:spacing w:line="600" w:lineRule="exact"/>
        <w:ind w:firstLine="643" w:firstLineChars="200"/>
        <w:outlineLvl w:val="2"/>
        <w:rPr>
          <w:rFonts w:hint="default" w:ascii="Times New Roman" w:hAnsi="Times New Roman" w:eastAsia="楷体_GB2312" w:cs="Times New Roman"/>
          <w:b/>
          <w:color w:val="auto"/>
          <w:sz w:val="32"/>
          <w:szCs w:val="32"/>
          <w:highlight w:val="none"/>
        </w:rPr>
      </w:pPr>
      <w:r>
        <w:rPr>
          <w:rFonts w:hint="default" w:ascii="Times New Roman" w:hAnsi="Times New Roman" w:eastAsia="楷体_GB2312" w:cs="Times New Roman"/>
          <w:b/>
          <w:color w:val="auto"/>
          <w:sz w:val="32"/>
          <w:szCs w:val="32"/>
          <w:highlight w:val="none"/>
        </w:rPr>
        <w:t>（四）预算绩效管理情况</w:t>
      </w:r>
    </w:p>
    <w:p w14:paraId="0B75977C">
      <w:pPr>
        <w:spacing w:line="600" w:lineRule="exact"/>
        <w:ind w:firstLine="640"/>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根据预算绩效管理要求，我单位在2024年度预算编制阶段，组织对</w:t>
      </w:r>
      <w:r>
        <w:rPr>
          <w:rFonts w:hint="default" w:ascii="Times New Roman" w:hAnsi="Times New Roman" w:eastAsia="仿宋_GB2312" w:cs="Times New Roman"/>
          <w:color w:val="auto"/>
          <w:sz w:val="32"/>
          <w:szCs w:val="32"/>
          <w:highlight w:val="none"/>
          <w:lang w:eastAsia="zh-CN"/>
        </w:rPr>
        <w:t>公招考试工作经费</w:t>
      </w:r>
      <w:r>
        <w:rPr>
          <w:rFonts w:hint="default" w:ascii="Times New Roman" w:hAnsi="Times New Roman" w:eastAsia="仿宋_GB2312" w:cs="Times New Roman"/>
          <w:color w:val="auto"/>
          <w:kern w:val="2"/>
          <w:sz w:val="32"/>
          <w:szCs w:val="32"/>
          <w:highlight w:val="none"/>
          <w:lang w:val="en-US" w:eastAsia="zh-CN" w:bidi="ar-SA"/>
        </w:rPr>
        <w:t>项目开展了预算事前绩效评估，对1个项目编制了绩效目标，预算执行过程中，选取1个项目开展绩效监控。</w:t>
      </w:r>
    </w:p>
    <w:p w14:paraId="2107B8DD">
      <w:pPr>
        <w:numPr>
          <w:ilvl w:val="0"/>
          <w:numId w:val="1"/>
        </w:numPr>
        <w:spacing w:line="600" w:lineRule="exact"/>
        <w:jc w:val="center"/>
        <w:outlineLvl w:val="0"/>
        <w:rPr>
          <w:rStyle w:val="28"/>
          <w:rFonts w:hint="default" w:ascii="Times New Roman" w:hAnsi="Times New Roman" w:eastAsia="黑体" w:cs="Times New Roman"/>
          <w:b w:val="0"/>
          <w:color w:val="auto"/>
          <w:highlight w:val="none"/>
        </w:rPr>
      </w:pPr>
      <w:bookmarkStart w:id="50" w:name="_Toc15377225"/>
      <w:bookmarkStart w:id="51" w:name="_Toc15396613"/>
      <w:r>
        <w:rPr>
          <w:rFonts w:hint="default" w:ascii="Times New Roman" w:hAnsi="Times New Roman" w:eastAsia="黑体" w:cs="Times New Roman"/>
          <w:color w:val="auto"/>
          <w:sz w:val="44"/>
          <w:szCs w:val="44"/>
          <w:highlight w:val="none"/>
          <w:lang w:val="en-US" w:eastAsia="zh-CN"/>
        </w:rPr>
        <w:t xml:space="preserve"> </w:t>
      </w:r>
      <w:r>
        <w:rPr>
          <w:rFonts w:hint="default" w:ascii="Times New Roman" w:hAnsi="Times New Roman" w:eastAsia="黑体" w:cs="Times New Roman"/>
          <w:color w:val="auto"/>
          <w:sz w:val="44"/>
          <w:szCs w:val="44"/>
          <w:highlight w:val="none"/>
        </w:rPr>
        <w:t>名词解释</w:t>
      </w:r>
      <w:bookmarkEnd w:id="50"/>
      <w:bookmarkEnd w:id="51"/>
    </w:p>
    <w:p w14:paraId="4305A2FD">
      <w:pPr>
        <w:spacing w:line="600" w:lineRule="exact"/>
        <w:jc w:val="left"/>
        <w:rPr>
          <w:rFonts w:hint="default" w:ascii="Times New Roman" w:hAnsi="Times New Roman" w:cs="Times New Roman"/>
          <w:b/>
          <w:color w:val="auto"/>
          <w:sz w:val="44"/>
          <w:szCs w:val="44"/>
          <w:highlight w:val="none"/>
        </w:rPr>
      </w:pPr>
    </w:p>
    <w:p w14:paraId="7123C3E9">
      <w:pPr>
        <w:pStyle w:val="26"/>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1.财政拨款收入：指单位从同级财政部门取得的财政预算资金。</w:t>
      </w:r>
    </w:p>
    <w:p w14:paraId="3A63A47A">
      <w:pPr>
        <w:pStyle w:val="26"/>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 xml:space="preserve">2.其他收入：指单位取得的除上述收入以外的各项收入。主要是非同级财政拨款收入。  </w:t>
      </w:r>
    </w:p>
    <w:p w14:paraId="478EB5DD">
      <w:pPr>
        <w:pStyle w:val="26"/>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 xml:space="preserve">3.年初结转和结余：指以前年度尚未完成、结转到本年按有关规定继续使用的资金。 </w:t>
      </w:r>
    </w:p>
    <w:p w14:paraId="3110B7BD">
      <w:pPr>
        <w:pStyle w:val="26"/>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4.年末结转和结余：指单位按有关规定结转到下年或以后年度继续使用的资金。</w:t>
      </w:r>
    </w:p>
    <w:p w14:paraId="7D4B48D3">
      <w:pPr>
        <w:pStyle w:val="26"/>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5. 社会保障和就业支出（类）人力资源和社会保障管理事务（款）事业运行（项）:指反映事业单位的基本支出。</w:t>
      </w:r>
    </w:p>
    <w:p w14:paraId="54B3873D">
      <w:pPr>
        <w:pStyle w:val="26"/>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6. 社会保障和就业支出（类）行政事业单位养老支出（款）事业单位离退休（项）:指反映事业单位开支的离退休经费。</w:t>
      </w:r>
    </w:p>
    <w:p w14:paraId="227B3D50">
      <w:pPr>
        <w:pStyle w:val="26"/>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7. 社会保障和就业支出（类）行政事业单位养老支出（款）机关事业单位基本养老保险缴费支出（项）:指反映机关事业单位实施养老保险制度由单位缴纳的基本养老保险费支出。</w:t>
      </w:r>
    </w:p>
    <w:p w14:paraId="1E819C9F">
      <w:pPr>
        <w:pStyle w:val="26"/>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8.</w:t>
      </w:r>
      <w:r>
        <w:rPr>
          <w:rFonts w:hint="default" w:ascii="Times New Roman" w:hAnsi="Times New Roman" w:eastAsia="仿宋_GB2312" w:cs="Times New Roman"/>
          <w:sz w:val="32"/>
          <w:szCs w:val="32"/>
        </w:rPr>
        <w:t>社会保障和就业支出（类）人力资源和社会保障管理事务（款）其他人力资源和社会保障管理事务支出（项）：指反应事业单位的项目支出。</w:t>
      </w:r>
      <w:r>
        <w:rPr>
          <w:rFonts w:hint="default" w:ascii="Times New Roman" w:hAnsi="Times New Roman" w:eastAsia="仿宋_GB2312" w:cs="Times New Roman"/>
          <w:color w:val="auto"/>
          <w:sz w:val="32"/>
          <w:szCs w:val="32"/>
        </w:rPr>
        <w:t xml:space="preserve"> </w:t>
      </w:r>
    </w:p>
    <w:p w14:paraId="6722AE4C">
      <w:pPr>
        <w:pStyle w:val="26"/>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sz w:val="32"/>
          <w:szCs w:val="32"/>
        </w:rPr>
        <w:t xml:space="preserve">9. </w:t>
      </w:r>
      <w:r>
        <w:rPr>
          <w:rFonts w:hint="default" w:ascii="Times New Roman" w:hAnsi="Times New Roman" w:eastAsia="仿宋_GB2312" w:cs="Times New Roman"/>
          <w:color w:val="auto"/>
          <w:sz w:val="32"/>
          <w:szCs w:val="32"/>
        </w:rPr>
        <w:t>住房保障支出（类）住房改革支出（款）住房公积金（项）：指反映行政事业单位按人力资源和社会保障部、财政部规定的基本工资和津贴补贴以及规定比例为职工缴纳的住房公积金。</w:t>
      </w:r>
    </w:p>
    <w:p w14:paraId="289019B0">
      <w:p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rPr>
        <w:t xml:space="preserve">卫生健康支出（类）行政事业单位医疗（款）事业单位医疗（项）: </w:t>
      </w:r>
      <w:r>
        <w:rPr>
          <w:rFonts w:hint="default" w:ascii="Times New Roman" w:hAnsi="Times New Roman" w:eastAsia="仿宋_GB2312" w:cs="Times New Roman"/>
          <w:sz w:val="32"/>
          <w:szCs w:val="32"/>
          <w:lang w:val="en-US" w:eastAsia="zh-CN"/>
        </w:rPr>
        <w:t>指反应财政部门安排的事业单位基本医疗保险缴费。</w:t>
      </w:r>
    </w:p>
    <w:p w14:paraId="461AD5E5">
      <w:p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11.</w:t>
      </w:r>
      <w:r>
        <w:rPr>
          <w:rFonts w:hint="default" w:ascii="Times New Roman" w:hAnsi="Times New Roman" w:eastAsia="仿宋_GB2312" w:cs="Times New Roman"/>
          <w:sz w:val="32"/>
          <w:szCs w:val="32"/>
        </w:rPr>
        <w:t xml:space="preserve">卫生健康支出（类）行政事业单位医疗（款）公务员医疗补助（项）: </w:t>
      </w:r>
      <w:r>
        <w:rPr>
          <w:rFonts w:hint="default" w:ascii="Times New Roman" w:hAnsi="Times New Roman" w:eastAsia="仿宋_GB2312" w:cs="Times New Roman"/>
          <w:sz w:val="32"/>
          <w:szCs w:val="32"/>
          <w:lang w:val="en-US" w:eastAsia="zh-CN"/>
        </w:rPr>
        <w:t>指反应财政部门安排的公务员医疗补助经费。</w:t>
      </w:r>
    </w:p>
    <w:p w14:paraId="2554FD0F">
      <w:p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12.</w:t>
      </w:r>
      <w:r>
        <w:rPr>
          <w:rFonts w:hint="default" w:ascii="Times New Roman" w:hAnsi="Times New Roman" w:eastAsia="仿宋_GB2312" w:cs="Times New Roman"/>
          <w:sz w:val="32"/>
          <w:szCs w:val="32"/>
        </w:rPr>
        <w:t xml:space="preserve">卫生健康支出（类）行政事业单位医疗（款）其他行政事业单位医疗支出（项）: </w:t>
      </w:r>
      <w:r>
        <w:rPr>
          <w:rFonts w:hint="default" w:ascii="Times New Roman" w:hAnsi="Times New Roman" w:eastAsia="仿宋_GB2312" w:cs="Times New Roman"/>
          <w:sz w:val="32"/>
          <w:szCs w:val="32"/>
          <w:lang w:val="en-US" w:eastAsia="zh-CN"/>
        </w:rPr>
        <w:t>指反应其他用于行政事业单位医疗方面的支出。</w:t>
      </w:r>
    </w:p>
    <w:p w14:paraId="059CF1C7">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13.</w:t>
      </w:r>
      <w:r>
        <w:rPr>
          <w:rFonts w:hint="default" w:ascii="Times New Roman" w:hAnsi="Times New Roman" w:eastAsia="仿宋_GB2312" w:cs="Times New Roman"/>
          <w:sz w:val="32"/>
          <w:szCs w:val="32"/>
        </w:rPr>
        <w:t>基本支出：指为保障机构正常运转、完成日常工作任务而发生的人员支出和公用支出。</w:t>
      </w:r>
    </w:p>
    <w:p w14:paraId="5BA29DA3">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 xml:space="preserve">.项目支出：指在基本支出之外为完成特定行政任务和事业发展目标所发生的支出。 </w:t>
      </w:r>
    </w:p>
    <w:p w14:paraId="56DEC27B">
      <w:pPr>
        <w:pStyle w:val="26"/>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w:t>
      </w:r>
      <w:r>
        <w:rPr>
          <w:rFonts w:hint="default"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0FBC38CA">
      <w:pPr>
        <w:spacing w:line="600" w:lineRule="exact"/>
        <w:jc w:val="both"/>
        <w:outlineLvl w:val="0"/>
        <w:rPr>
          <w:rFonts w:hint="default" w:ascii="Times New Roman" w:hAnsi="Times New Roman" w:cs="Times New Roman"/>
        </w:rPr>
      </w:pPr>
      <w:r>
        <w:rPr>
          <w:rFonts w:hint="default" w:ascii="Times New Roman" w:hAnsi="Times New Roman" w:cs="Times New Roman"/>
          <w:b/>
          <w:color w:val="auto"/>
          <w:sz w:val="44"/>
          <w:szCs w:val="44"/>
          <w:highlight w:val="none"/>
        </w:rPr>
        <w:br w:type="page"/>
      </w:r>
    </w:p>
    <w:p w14:paraId="68466946">
      <w:pPr>
        <w:numPr>
          <w:ilvl w:val="0"/>
          <w:numId w:val="1"/>
        </w:numPr>
        <w:spacing w:line="600" w:lineRule="exact"/>
        <w:ind w:left="0" w:leftChars="0" w:firstLine="0" w:firstLineChars="0"/>
        <w:jc w:val="center"/>
        <w:rPr>
          <w:rFonts w:hint="default" w:ascii="Times New Roman" w:hAnsi="Times New Roman" w:eastAsia="黑体" w:cs="Times New Roman"/>
          <w:color w:val="auto"/>
          <w:sz w:val="44"/>
          <w:szCs w:val="44"/>
          <w:highlight w:val="none"/>
        </w:rPr>
      </w:pPr>
      <w:bookmarkStart w:id="52" w:name="_Toc15396614"/>
      <w:bookmarkStart w:id="53" w:name="_Toc15377226"/>
      <w:r>
        <w:rPr>
          <w:rFonts w:hint="default" w:ascii="Times New Roman" w:hAnsi="Times New Roman" w:eastAsia="黑体" w:cs="Times New Roman"/>
          <w:color w:val="auto"/>
          <w:sz w:val="44"/>
          <w:szCs w:val="44"/>
          <w:highlight w:val="none"/>
        </w:rPr>
        <w:t xml:space="preserve"> 附件</w:t>
      </w:r>
      <w:bookmarkEnd w:id="52"/>
    </w:p>
    <w:p w14:paraId="7B29B8CD">
      <w:pPr>
        <w:spacing w:line="600" w:lineRule="exact"/>
        <w:ind w:firstLine="640" w:firstLineChars="200"/>
        <w:jc w:val="both"/>
        <w:outlineLvl w:val="0"/>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部门预算项目支出绩效自评表（2024年度）</w:t>
      </w:r>
      <w:r>
        <w:rPr>
          <w:rFonts w:hint="eastAsia" w:ascii="Times New Roman" w:hAnsi="Times New Roman" w:eastAsia="仿宋_GB2312" w:cs="Times New Roman"/>
          <w:color w:val="auto"/>
          <w:kern w:val="0"/>
          <w:sz w:val="32"/>
          <w:szCs w:val="32"/>
          <w:lang w:val="en-US" w:eastAsia="zh-CN" w:bidi="ar-SA"/>
        </w:rPr>
        <w:t>见附件3。</w:t>
      </w:r>
    </w:p>
    <w:p w14:paraId="3D17E04B">
      <w:pPr>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br w:type="page"/>
      </w:r>
    </w:p>
    <w:p w14:paraId="4A782D99">
      <w:pPr>
        <w:bidi w:val="0"/>
        <w:jc w:val="left"/>
        <w:rPr>
          <w:rFonts w:hint="default" w:ascii="Times New Roman" w:hAnsi="Times New Roman" w:eastAsia="宋体" w:cs="Times New Roman"/>
          <w:kern w:val="2"/>
          <w:sz w:val="21"/>
          <w:szCs w:val="24"/>
          <w:lang w:val="en-US" w:eastAsia="zh-CN" w:bidi="ar-SA"/>
        </w:rPr>
      </w:pPr>
    </w:p>
    <w:p w14:paraId="1E4E7039">
      <w:pPr>
        <w:widowControl/>
        <w:jc w:val="center"/>
        <w:rPr>
          <w:rFonts w:hint="default" w:ascii="Times New Roman" w:hAnsi="Times New Roman" w:eastAsia="仿宋" w:cs="Times New Roman"/>
          <w:b w:val="0"/>
          <w:color w:val="auto"/>
          <w:highlight w:val="none"/>
        </w:rPr>
      </w:pPr>
      <w:bookmarkStart w:id="54" w:name="_Toc15396618"/>
      <w:r>
        <w:rPr>
          <w:rFonts w:hint="default" w:ascii="Times New Roman" w:hAnsi="Times New Roman" w:eastAsia="黑体" w:cs="Times New Roman"/>
          <w:color w:val="auto"/>
          <w:sz w:val="44"/>
          <w:szCs w:val="44"/>
          <w:highlight w:val="none"/>
        </w:rPr>
        <w:t>第</w:t>
      </w:r>
      <w:r>
        <w:rPr>
          <w:rStyle w:val="28"/>
          <w:rFonts w:hint="default" w:ascii="Times New Roman" w:hAnsi="Times New Roman" w:eastAsia="黑体" w:cs="Times New Roman"/>
          <w:b w:val="0"/>
          <w:color w:val="auto"/>
          <w:highlight w:val="none"/>
        </w:rPr>
        <w:t>五部分 附表</w:t>
      </w:r>
      <w:bookmarkEnd w:id="53"/>
      <w:bookmarkEnd w:id="54"/>
      <w:bookmarkStart w:id="55" w:name="_Toc15396619"/>
    </w:p>
    <w:p w14:paraId="2FD40632">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p>
    <w:p w14:paraId="7B515AA3">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一、收入支出决算总表</w:t>
      </w:r>
      <w:bookmarkEnd w:id="55"/>
    </w:p>
    <w:p w14:paraId="73FDE768">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bookmarkStart w:id="56" w:name="_Toc15396620"/>
      <w:r>
        <w:rPr>
          <w:rFonts w:hint="default" w:ascii="Times New Roman" w:hAnsi="Times New Roman" w:eastAsia="仿宋_GB2312" w:cs="Times New Roman"/>
          <w:color w:val="auto"/>
          <w:sz w:val="32"/>
          <w:szCs w:val="32"/>
          <w:highlight w:val="none"/>
        </w:rPr>
        <w:t>二、收入决算表</w:t>
      </w:r>
      <w:bookmarkEnd w:id="56"/>
    </w:p>
    <w:p w14:paraId="326CD6F7">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bookmarkStart w:id="57" w:name="_Toc15396621"/>
      <w:r>
        <w:rPr>
          <w:rFonts w:hint="default" w:ascii="Times New Roman" w:hAnsi="Times New Roman" w:eastAsia="仿宋_GB2312" w:cs="Times New Roman"/>
          <w:color w:val="auto"/>
          <w:sz w:val="32"/>
          <w:szCs w:val="32"/>
          <w:highlight w:val="none"/>
        </w:rPr>
        <w:t>三、支出决算表</w:t>
      </w:r>
      <w:bookmarkEnd w:id="57"/>
    </w:p>
    <w:p w14:paraId="1591DCF1">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bookmarkStart w:id="58" w:name="_Toc15396622"/>
      <w:r>
        <w:rPr>
          <w:rFonts w:hint="default" w:ascii="Times New Roman" w:hAnsi="Times New Roman" w:eastAsia="仿宋_GB2312" w:cs="Times New Roman"/>
          <w:color w:val="auto"/>
          <w:sz w:val="32"/>
          <w:szCs w:val="32"/>
          <w:highlight w:val="none"/>
        </w:rPr>
        <w:t>四、财政拨款收入支出决算总表</w:t>
      </w:r>
      <w:bookmarkEnd w:id="58"/>
    </w:p>
    <w:p w14:paraId="727C7DA6">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bookmarkStart w:id="59" w:name="_Toc15396623"/>
      <w:r>
        <w:rPr>
          <w:rFonts w:hint="default" w:ascii="Times New Roman" w:hAnsi="Times New Roman" w:eastAsia="仿宋_GB2312" w:cs="Times New Roman"/>
          <w:color w:val="auto"/>
          <w:sz w:val="32"/>
          <w:szCs w:val="32"/>
          <w:highlight w:val="none"/>
        </w:rPr>
        <w:t>五、财政拨款支出决算明细表</w:t>
      </w:r>
      <w:bookmarkEnd w:id="59"/>
      <w:bookmarkStart w:id="60" w:name="_Toc15396624"/>
    </w:p>
    <w:p w14:paraId="0C715CFD">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六、一般公共预算财政拨款支出决算表</w:t>
      </w:r>
      <w:bookmarkEnd w:id="60"/>
    </w:p>
    <w:p w14:paraId="495DB945">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bookmarkStart w:id="61" w:name="_Toc15396625"/>
      <w:r>
        <w:rPr>
          <w:rFonts w:hint="default" w:ascii="Times New Roman" w:hAnsi="Times New Roman" w:eastAsia="仿宋_GB2312" w:cs="Times New Roman"/>
          <w:color w:val="auto"/>
          <w:sz w:val="32"/>
          <w:szCs w:val="32"/>
          <w:highlight w:val="none"/>
        </w:rPr>
        <w:t>七、一般公共预算财政拨款支出决算明细表</w:t>
      </w:r>
      <w:bookmarkEnd w:id="61"/>
    </w:p>
    <w:p w14:paraId="078025E3">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bookmarkStart w:id="62" w:name="_Toc15396626"/>
      <w:r>
        <w:rPr>
          <w:rFonts w:hint="default" w:ascii="Times New Roman" w:hAnsi="Times New Roman" w:eastAsia="仿宋_GB2312" w:cs="Times New Roman"/>
          <w:color w:val="auto"/>
          <w:sz w:val="32"/>
          <w:szCs w:val="32"/>
          <w:highlight w:val="none"/>
        </w:rPr>
        <w:t>八、一般公共预算财政拨款基本支出决算表</w:t>
      </w:r>
      <w:bookmarkEnd w:id="62"/>
    </w:p>
    <w:p w14:paraId="018304F0">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bookmarkStart w:id="63" w:name="_Toc15396627"/>
      <w:r>
        <w:rPr>
          <w:rFonts w:hint="default" w:ascii="Times New Roman" w:hAnsi="Times New Roman" w:eastAsia="仿宋_GB2312" w:cs="Times New Roman"/>
          <w:color w:val="auto"/>
          <w:sz w:val="32"/>
          <w:szCs w:val="32"/>
          <w:highlight w:val="none"/>
        </w:rPr>
        <w:t>九、一般公共预算财政拨款项目支出决算表</w:t>
      </w:r>
      <w:bookmarkEnd w:id="63"/>
    </w:p>
    <w:p w14:paraId="7EC219CF">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bookmarkStart w:id="64" w:name="_Toc15396628"/>
      <w:r>
        <w:rPr>
          <w:rFonts w:hint="default" w:ascii="Times New Roman" w:hAnsi="Times New Roman" w:eastAsia="仿宋_GB2312" w:cs="Times New Roman"/>
          <w:color w:val="auto"/>
          <w:sz w:val="32"/>
          <w:szCs w:val="32"/>
          <w:highlight w:val="none"/>
        </w:rPr>
        <w:t>十、</w:t>
      </w:r>
      <w:bookmarkEnd w:id="64"/>
      <w:r>
        <w:rPr>
          <w:rFonts w:hint="default" w:ascii="Times New Roman" w:hAnsi="Times New Roman" w:eastAsia="仿宋_GB2312" w:cs="Times New Roman"/>
          <w:color w:val="auto"/>
          <w:sz w:val="32"/>
          <w:szCs w:val="32"/>
          <w:highlight w:val="none"/>
        </w:rPr>
        <w:t>政府性基金预算财政拨款收入支出决算表</w:t>
      </w:r>
      <w:r>
        <w:rPr>
          <w:rFonts w:hint="default" w:ascii="Times New Roman" w:hAnsi="Times New Roman" w:eastAsia="仿宋_GB2312" w:cs="Times New Roman"/>
          <w:color w:val="auto"/>
          <w:sz w:val="32"/>
          <w:szCs w:val="32"/>
          <w:highlight w:val="none"/>
          <w:lang w:val="en-US" w:eastAsia="zh-CN"/>
        </w:rPr>
        <w:t>（此表无数据）</w:t>
      </w:r>
    </w:p>
    <w:p w14:paraId="68B237CC">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bookmarkStart w:id="65" w:name="_Toc15396629"/>
      <w:r>
        <w:rPr>
          <w:rFonts w:hint="default" w:ascii="Times New Roman" w:hAnsi="Times New Roman" w:eastAsia="仿宋_GB2312" w:cs="Times New Roman"/>
          <w:color w:val="auto"/>
          <w:sz w:val="32"/>
          <w:szCs w:val="32"/>
          <w:highlight w:val="none"/>
        </w:rPr>
        <w:t>十一、</w:t>
      </w:r>
      <w:bookmarkEnd w:id="65"/>
      <w:r>
        <w:rPr>
          <w:rFonts w:hint="default" w:ascii="Times New Roman" w:hAnsi="Times New Roman" w:eastAsia="仿宋_GB2312" w:cs="Times New Roman"/>
          <w:color w:val="auto"/>
          <w:sz w:val="32"/>
          <w:szCs w:val="32"/>
          <w:highlight w:val="none"/>
        </w:rPr>
        <w:t>国有资本经营预算</w:t>
      </w:r>
      <w:r>
        <w:rPr>
          <w:rFonts w:hint="default" w:ascii="Times New Roman" w:hAnsi="Times New Roman" w:eastAsia="仿宋_GB2312" w:cs="Times New Roman"/>
          <w:color w:val="auto"/>
          <w:sz w:val="32"/>
          <w:szCs w:val="32"/>
          <w:highlight w:val="none"/>
          <w:lang w:eastAsia="zh-CN"/>
        </w:rPr>
        <w:t>财政拨款收入</w:t>
      </w:r>
      <w:r>
        <w:rPr>
          <w:rFonts w:hint="default" w:ascii="Times New Roman" w:hAnsi="Times New Roman" w:eastAsia="仿宋_GB2312" w:cs="Times New Roman"/>
          <w:color w:val="auto"/>
          <w:sz w:val="32"/>
          <w:szCs w:val="32"/>
          <w:highlight w:val="none"/>
        </w:rPr>
        <w:t>支出决算表</w:t>
      </w:r>
      <w:r>
        <w:rPr>
          <w:rFonts w:hint="default" w:ascii="Times New Roman" w:hAnsi="Times New Roman" w:eastAsia="仿宋_GB2312" w:cs="Times New Roman"/>
          <w:color w:val="auto"/>
          <w:sz w:val="32"/>
          <w:szCs w:val="32"/>
          <w:highlight w:val="none"/>
          <w:lang w:val="en-US" w:eastAsia="zh-CN"/>
        </w:rPr>
        <w:t>（此表无数据）</w:t>
      </w:r>
    </w:p>
    <w:p w14:paraId="5F5C9D5E">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rPr>
      </w:pPr>
      <w:bookmarkStart w:id="66" w:name="_Toc15396630"/>
      <w:r>
        <w:rPr>
          <w:rFonts w:hint="default" w:ascii="Times New Roman" w:hAnsi="Times New Roman" w:eastAsia="仿宋_GB2312" w:cs="Times New Roman"/>
          <w:color w:val="auto"/>
          <w:sz w:val="32"/>
          <w:szCs w:val="32"/>
          <w:highlight w:val="none"/>
        </w:rPr>
        <w:t>十二、</w:t>
      </w:r>
      <w:bookmarkEnd w:id="66"/>
      <w:r>
        <w:rPr>
          <w:rFonts w:hint="default" w:ascii="Times New Roman" w:hAnsi="Times New Roman" w:eastAsia="仿宋_GB2312" w:cs="Times New Roman"/>
          <w:color w:val="auto"/>
          <w:sz w:val="32"/>
          <w:szCs w:val="32"/>
          <w:highlight w:val="none"/>
          <w:lang w:eastAsia="zh-CN"/>
        </w:rPr>
        <w:t>国有资本经营预算财政拨款支出决算表</w:t>
      </w:r>
      <w:r>
        <w:rPr>
          <w:rFonts w:hint="default" w:ascii="Times New Roman" w:hAnsi="Times New Roman" w:eastAsia="仿宋_GB2312" w:cs="Times New Roman"/>
          <w:color w:val="auto"/>
          <w:sz w:val="32"/>
          <w:szCs w:val="32"/>
          <w:highlight w:val="none"/>
          <w:lang w:val="en-US" w:eastAsia="zh-CN"/>
        </w:rPr>
        <w:t>（此表无数据）</w:t>
      </w:r>
    </w:p>
    <w:p w14:paraId="7B21BBA8">
      <w:pPr>
        <w:pStyle w:val="14"/>
        <w:keepNext w:val="0"/>
        <w:keepLines w:val="0"/>
        <w:pageBreakBefore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lang w:eastAsia="zh-CN"/>
        </w:rPr>
      </w:pPr>
      <w:bookmarkStart w:id="67" w:name="_Toc15396631"/>
      <w:r>
        <w:rPr>
          <w:rFonts w:hint="default" w:ascii="Times New Roman" w:hAnsi="Times New Roman" w:eastAsia="仿宋_GB2312" w:cs="Times New Roman"/>
          <w:color w:val="auto"/>
          <w:sz w:val="32"/>
          <w:szCs w:val="32"/>
          <w:highlight w:val="none"/>
        </w:rPr>
        <w:t>十三、</w:t>
      </w:r>
      <w:bookmarkEnd w:id="67"/>
      <w:r>
        <w:rPr>
          <w:rFonts w:hint="default" w:ascii="Times New Roman" w:hAnsi="Times New Roman" w:eastAsia="仿宋_GB2312" w:cs="Times New Roman"/>
          <w:color w:val="auto"/>
          <w:sz w:val="32"/>
          <w:szCs w:val="32"/>
          <w:highlight w:val="none"/>
          <w:lang w:eastAsia="zh-CN"/>
        </w:rPr>
        <w:t>财政拨款“三公”经费支出决算表</w:t>
      </w:r>
    </w:p>
    <w:p w14:paraId="41A9E23D">
      <w:pPr>
        <w:rPr>
          <w:rFonts w:hint="default" w:ascii="Times New Roman" w:hAnsi="Times New Roman" w:cs="Times New Roman"/>
          <w:lang w:eastAsia="zh-CN"/>
        </w:rPr>
      </w:pPr>
    </w:p>
    <w:sectPr>
      <w:footerReference r:id="rId8" w:type="first"/>
      <w:footerReference r:id="rId7" w:type="default"/>
      <w:pgSz w:w="11906" w:h="16838"/>
      <w:pgMar w:top="1440" w:right="1800" w:bottom="1440" w:left="1800" w:header="851" w:footer="992" w:gutter="0"/>
      <w:pgNumType w:fmt="numberInDash"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0AFF" w:usb1="00007843" w:usb2="00000001" w:usb3="00000000" w:csb0="400001BF" w:csb1="DFF7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24466C">
    <w:pPr>
      <w:pStyle w:val="10"/>
      <w:jc w:val="center"/>
    </w:pPr>
  </w:p>
  <w:p w14:paraId="017EE742">
    <w:pPr>
      <w:pStyle w:val="10"/>
      <w:tabs>
        <w:tab w:val="clear" w:pos="4153"/>
      </w:tabs>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AFBB2B">
    <w:pPr>
      <w:pStyle w:val="10"/>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7E9FB1">
                          <w:pPr>
                            <w:pStyle w:val="10"/>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417E9FB1">
                    <w:pPr>
                      <w:pStyle w:val="10"/>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DA6BB5">
    <w:pPr>
      <w:pStyle w:val="10"/>
      <w:jc w:val="center"/>
    </w:pPr>
  </w:p>
  <w:p w14:paraId="19344ADD">
    <w:pPr>
      <w:pStyle w:val="10"/>
      <w:tabs>
        <w:tab w:val="clear" w:pos="4153"/>
      </w:tabs>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12FCE4">
    <w:pPr>
      <w:pStyle w:val="1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2EBD63">
                          <w:pPr>
                            <w:pStyle w:val="10"/>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3A2EBD63">
                    <w:pPr>
                      <w:pStyle w:val="10"/>
                    </w:pPr>
                    <w:r>
                      <w:fldChar w:fldCharType="begin"/>
                    </w:r>
                    <w:r>
                      <w:instrText xml:space="preserve"> PAGE  \* MERGEFORMAT </w:instrText>
                    </w:r>
                    <w:r>
                      <w:fldChar w:fldCharType="separate"/>
                    </w:r>
                    <w:r>
                      <w:t>- 2 -</w:t>
                    </w:r>
                    <w:r>
                      <w:fldChar w:fldCharType="end"/>
                    </w:r>
                  </w:p>
                </w:txbxContent>
              </v:textbox>
            </v:shape>
          </w:pict>
        </mc:Fallback>
      </mc:AlternateContent>
    </w:r>
  </w:p>
  <w:p w14:paraId="73139FA5">
    <w:pPr>
      <w:pStyle w:val="10"/>
      <w:tabs>
        <w:tab w:val="clear" w:pos="4153"/>
      </w:tabs>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4DF84A">
    <w:pPr>
      <w:pStyle w:val="10"/>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4D6837">
                          <w:pPr>
                            <w:pStyle w:val="10"/>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0B4D6837">
                    <w:pPr>
                      <w:pStyle w:val="10"/>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A2679A">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CEC0F5"/>
    <w:multiLevelType w:val="singleLevel"/>
    <w:tmpl w:val="28CEC0F5"/>
    <w:lvl w:ilvl="0" w:tentative="0">
      <w:start w:val="3"/>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03781"/>
    <w:rsid w:val="00114E9B"/>
    <w:rsid w:val="00142216"/>
    <w:rsid w:val="00144D6A"/>
    <w:rsid w:val="0014729F"/>
    <w:rsid w:val="00157BAB"/>
    <w:rsid w:val="001654D1"/>
    <w:rsid w:val="00174518"/>
    <w:rsid w:val="0018106D"/>
    <w:rsid w:val="001877A7"/>
    <w:rsid w:val="00191536"/>
    <w:rsid w:val="00196687"/>
    <w:rsid w:val="001C0962"/>
    <w:rsid w:val="001D7531"/>
    <w:rsid w:val="001E413F"/>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01EC"/>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21116"/>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007"/>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E578A"/>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4633"/>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0E2A43"/>
    <w:rsid w:val="010F14C9"/>
    <w:rsid w:val="012A5EC2"/>
    <w:rsid w:val="015975B8"/>
    <w:rsid w:val="015C15C8"/>
    <w:rsid w:val="017311EE"/>
    <w:rsid w:val="0183225F"/>
    <w:rsid w:val="01A45240"/>
    <w:rsid w:val="023C44BA"/>
    <w:rsid w:val="025832D3"/>
    <w:rsid w:val="029C4205"/>
    <w:rsid w:val="02DC07C0"/>
    <w:rsid w:val="02FEBE30"/>
    <w:rsid w:val="03B42A21"/>
    <w:rsid w:val="041462BE"/>
    <w:rsid w:val="0423435A"/>
    <w:rsid w:val="044A5F36"/>
    <w:rsid w:val="04916F1E"/>
    <w:rsid w:val="057E3312"/>
    <w:rsid w:val="059211F2"/>
    <w:rsid w:val="05A212BC"/>
    <w:rsid w:val="05AA7659"/>
    <w:rsid w:val="05B66CEF"/>
    <w:rsid w:val="05C24D00"/>
    <w:rsid w:val="061E35DE"/>
    <w:rsid w:val="06413050"/>
    <w:rsid w:val="065C2CFB"/>
    <w:rsid w:val="066E0107"/>
    <w:rsid w:val="06871289"/>
    <w:rsid w:val="07996F6E"/>
    <w:rsid w:val="07D459E5"/>
    <w:rsid w:val="07D822EB"/>
    <w:rsid w:val="07DFD8BA"/>
    <w:rsid w:val="07F20818"/>
    <w:rsid w:val="08043FB5"/>
    <w:rsid w:val="087010E6"/>
    <w:rsid w:val="089B79AC"/>
    <w:rsid w:val="08A615C0"/>
    <w:rsid w:val="08FF54D2"/>
    <w:rsid w:val="096C0084"/>
    <w:rsid w:val="09867E8F"/>
    <w:rsid w:val="09AC6A02"/>
    <w:rsid w:val="0A2032A3"/>
    <w:rsid w:val="0A5640DD"/>
    <w:rsid w:val="0A891875"/>
    <w:rsid w:val="0B125E37"/>
    <w:rsid w:val="0BC414DD"/>
    <w:rsid w:val="0BF7192C"/>
    <w:rsid w:val="0C2549FA"/>
    <w:rsid w:val="0C922E30"/>
    <w:rsid w:val="0CA8290A"/>
    <w:rsid w:val="0CD12914"/>
    <w:rsid w:val="0D35B1ED"/>
    <w:rsid w:val="0D68630B"/>
    <w:rsid w:val="0D781E29"/>
    <w:rsid w:val="0DEC4366"/>
    <w:rsid w:val="0E05748E"/>
    <w:rsid w:val="0E254B6B"/>
    <w:rsid w:val="0E6D5BB9"/>
    <w:rsid w:val="0E7116AE"/>
    <w:rsid w:val="0E98447E"/>
    <w:rsid w:val="0EA1730C"/>
    <w:rsid w:val="0EF64818"/>
    <w:rsid w:val="0F98263C"/>
    <w:rsid w:val="0FAE784A"/>
    <w:rsid w:val="0FC6205A"/>
    <w:rsid w:val="0FC803F4"/>
    <w:rsid w:val="0FE444A1"/>
    <w:rsid w:val="101860EC"/>
    <w:rsid w:val="101F47CC"/>
    <w:rsid w:val="1025078D"/>
    <w:rsid w:val="105015D1"/>
    <w:rsid w:val="10590DFB"/>
    <w:rsid w:val="10C055FF"/>
    <w:rsid w:val="11044578"/>
    <w:rsid w:val="11694EBD"/>
    <w:rsid w:val="11772AA4"/>
    <w:rsid w:val="118107EC"/>
    <w:rsid w:val="12003516"/>
    <w:rsid w:val="12845CEE"/>
    <w:rsid w:val="12976F0D"/>
    <w:rsid w:val="12AC1431"/>
    <w:rsid w:val="12AE23B5"/>
    <w:rsid w:val="12B32FBA"/>
    <w:rsid w:val="12E24EE2"/>
    <w:rsid w:val="1316305E"/>
    <w:rsid w:val="13205B6C"/>
    <w:rsid w:val="13D50BC4"/>
    <w:rsid w:val="13F44C4B"/>
    <w:rsid w:val="140F6AF9"/>
    <w:rsid w:val="149B66DD"/>
    <w:rsid w:val="14B17F78"/>
    <w:rsid w:val="14CA39A9"/>
    <w:rsid w:val="1549557C"/>
    <w:rsid w:val="154E6181"/>
    <w:rsid w:val="156051A2"/>
    <w:rsid w:val="15D95D65"/>
    <w:rsid w:val="16117544"/>
    <w:rsid w:val="161C3356"/>
    <w:rsid w:val="162B00EE"/>
    <w:rsid w:val="165E0673"/>
    <w:rsid w:val="16B831D5"/>
    <w:rsid w:val="16BB723D"/>
    <w:rsid w:val="17573FD8"/>
    <w:rsid w:val="179F7C4F"/>
    <w:rsid w:val="17BA3F9F"/>
    <w:rsid w:val="17E50567"/>
    <w:rsid w:val="17EB5C5D"/>
    <w:rsid w:val="17FB62F2"/>
    <w:rsid w:val="186504BB"/>
    <w:rsid w:val="18951461"/>
    <w:rsid w:val="18E31223"/>
    <w:rsid w:val="19A445FC"/>
    <w:rsid w:val="1A097B5E"/>
    <w:rsid w:val="1B811858"/>
    <w:rsid w:val="1B905946"/>
    <w:rsid w:val="1BAA1D73"/>
    <w:rsid w:val="1BD417C5"/>
    <w:rsid w:val="1BE8440E"/>
    <w:rsid w:val="1CC57F42"/>
    <w:rsid w:val="1CD60C80"/>
    <w:rsid w:val="1D155CEE"/>
    <w:rsid w:val="1D1638FE"/>
    <w:rsid w:val="1D472A99"/>
    <w:rsid w:val="1D924FD8"/>
    <w:rsid w:val="1DAA72BB"/>
    <w:rsid w:val="1DF50633"/>
    <w:rsid w:val="1E312DEB"/>
    <w:rsid w:val="1E5E47E0"/>
    <w:rsid w:val="1E740ACF"/>
    <w:rsid w:val="1F857AC5"/>
    <w:rsid w:val="1FF22678"/>
    <w:rsid w:val="1FF35744"/>
    <w:rsid w:val="1FF6BC77"/>
    <w:rsid w:val="20053897"/>
    <w:rsid w:val="20A11221"/>
    <w:rsid w:val="20EB0691"/>
    <w:rsid w:val="2141361E"/>
    <w:rsid w:val="21687C5B"/>
    <w:rsid w:val="2186353C"/>
    <w:rsid w:val="21A37E40"/>
    <w:rsid w:val="21A57AC0"/>
    <w:rsid w:val="22A83E6A"/>
    <w:rsid w:val="22BB5089"/>
    <w:rsid w:val="2316449E"/>
    <w:rsid w:val="23225D32"/>
    <w:rsid w:val="23860B96"/>
    <w:rsid w:val="23CF38CC"/>
    <w:rsid w:val="23E634F2"/>
    <w:rsid w:val="240371BF"/>
    <w:rsid w:val="242258D5"/>
    <w:rsid w:val="244F3473"/>
    <w:rsid w:val="24A835B0"/>
    <w:rsid w:val="24C97D99"/>
    <w:rsid w:val="25290686"/>
    <w:rsid w:val="25720B09"/>
    <w:rsid w:val="25A718F0"/>
    <w:rsid w:val="25BB59F6"/>
    <w:rsid w:val="25C73A07"/>
    <w:rsid w:val="260F557C"/>
    <w:rsid w:val="26970054"/>
    <w:rsid w:val="274A3B83"/>
    <w:rsid w:val="281408E2"/>
    <w:rsid w:val="283F7913"/>
    <w:rsid w:val="2841669A"/>
    <w:rsid w:val="28842606"/>
    <w:rsid w:val="28A066B3"/>
    <w:rsid w:val="28F43F3F"/>
    <w:rsid w:val="291D4652"/>
    <w:rsid w:val="291F4466"/>
    <w:rsid w:val="294C7E51"/>
    <w:rsid w:val="29E22543"/>
    <w:rsid w:val="29FD04D3"/>
    <w:rsid w:val="2A06727F"/>
    <w:rsid w:val="2A7E3A46"/>
    <w:rsid w:val="2A9226E6"/>
    <w:rsid w:val="2A953D6D"/>
    <w:rsid w:val="2AB17718"/>
    <w:rsid w:val="2AEE3127"/>
    <w:rsid w:val="2B1D22CA"/>
    <w:rsid w:val="2B3D0601"/>
    <w:rsid w:val="2B3F3B13"/>
    <w:rsid w:val="2B5B432E"/>
    <w:rsid w:val="2BB447BE"/>
    <w:rsid w:val="2BC55F5B"/>
    <w:rsid w:val="2BCC3368"/>
    <w:rsid w:val="2BD51A79"/>
    <w:rsid w:val="2BF92F32"/>
    <w:rsid w:val="2BFF7BC6"/>
    <w:rsid w:val="2C2A3701"/>
    <w:rsid w:val="2C331E12"/>
    <w:rsid w:val="2C8A61B5"/>
    <w:rsid w:val="2DA77776"/>
    <w:rsid w:val="2DF04E50"/>
    <w:rsid w:val="2E586DFA"/>
    <w:rsid w:val="2E8D676F"/>
    <w:rsid w:val="2EC96A17"/>
    <w:rsid w:val="2F040D46"/>
    <w:rsid w:val="2F371186"/>
    <w:rsid w:val="2F544EB3"/>
    <w:rsid w:val="2F5561B7"/>
    <w:rsid w:val="2F6B035B"/>
    <w:rsid w:val="2FA417BA"/>
    <w:rsid w:val="2FAB1145"/>
    <w:rsid w:val="2FAE5751"/>
    <w:rsid w:val="2FB1A395"/>
    <w:rsid w:val="2FD9A7D8"/>
    <w:rsid w:val="2FDBF714"/>
    <w:rsid w:val="300B0DA1"/>
    <w:rsid w:val="30840E28"/>
    <w:rsid w:val="30AB6865"/>
    <w:rsid w:val="30EC7553"/>
    <w:rsid w:val="312C253A"/>
    <w:rsid w:val="315536FF"/>
    <w:rsid w:val="3176461F"/>
    <w:rsid w:val="319F7F4E"/>
    <w:rsid w:val="31A15D7C"/>
    <w:rsid w:val="31B02B14"/>
    <w:rsid w:val="321759BB"/>
    <w:rsid w:val="32BD1EF1"/>
    <w:rsid w:val="32C216D7"/>
    <w:rsid w:val="3304709D"/>
    <w:rsid w:val="331935FC"/>
    <w:rsid w:val="333F5835"/>
    <w:rsid w:val="336124DA"/>
    <w:rsid w:val="33797B81"/>
    <w:rsid w:val="33A773CB"/>
    <w:rsid w:val="33DB43A2"/>
    <w:rsid w:val="3408616B"/>
    <w:rsid w:val="34234796"/>
    <w:rsid w:val="343A21BD"/>
    <w:rsid w:val="349D6851"/>
    <w:rsid w:val="34AD46FA"/>
    <w:rsid w:val="35BF583C"/>
    <w:rsid w:val="35ED5087"/>
    <w:rsid w:val="36032AAE"/>
    <w:rsid w:val="36543B99"/>
    <w:rsid w:val="36AA5135"/>
    <w:rsid w:val="36BE0DA7"/>
    <w:rsid w:val="37003C4A"/>
    <w:rsid w:val="376B6AA6"/>
    <w:rsid w:val="376D39B2"/>
    <w:rsid w:val="37992B44"/>
    <w:rsid w:val="37E16F03"/>
    <w:rsid w:val="37F53A3B"/>
    <w:rsid w:val="3814248D"/>
    <w:rsid w:val="38161214"/>
    <w:rsid w:val="38227225"/>
    <w:rsid w:val="385E272A"/>
    <w:rsid w:val="389B6C89"/>
    <w:rsid w:val="38D469F0"/>
    <w:rsid w:val="38E8705C"/>
    <w:rsid w:val="39627CCD"/>
    <w:rsid w:val="397BAF1F"/>
    <w:rsid w:val="397F4F63"/>
    <w:rsid w:val="3A127D55"/>
    <w:rsid w:val="3A63685A"/>
    <w:rsid w:val="3A767A79"/>
    <w:rsid w:val="3AA008BD"/>
    <w:rsid w:val="3AB79AF3"/>
    <w:rsid w:val="3AE834C0"/>
    <w:rsid w:val="3AFC5754"/>
    <w:rsid w:val="3B0317FE"/>
    <w:rsid w:val="3B0911E6"/>
    <w:rsid w:val="3B414BC4"/>
    <w:rsid w:val="3B7EF35A"/>
    <w:rsid w:val="3B8E442A"/>
    <w:rsid w:val="3B9FDB6C"/>
    <w:rsid w:val="3BB33BFE"/>
    <w:rsid w:val="3BDA7340"/>
    <w:rsid w:val="3BF5BC2F"/>
    <w:rsid w:val="3C8E2667"/>
    <w:rsid w:val="3CEBA265"/>
    <w:rsid w:val="3D471A96"/>
    <w:rsid w:val="3D98207C"/>
    <w:rsid w:val="3DAE0540"/>
    <w:rsid w:val="3DC0045B"/>
    <w:rsid w:val="3DEE7CF3"/>
    <w:rsid w:val="3DF257B2"/>
    <w:rsid w:val="3DFC02BF"/>
    <w:rsid w:val="3E003F6B"/>
    <w:rsid w:val="3E6F05FE"/>
    <w:rsid w:val="3E740A63"/>
    <w:rsid w:val="3E78745D"/>
    <w:rsid w:val="3ED34AA0"/>
    <w:rsid w:val="3EDC15F6"/>
    <w:rsid w:val="3EE17838"/>
    <w:rsid w:val="3F192CD1"/>
    <w:rsid w:val="3F34383F"/>
    <w:rsid w:val="3F55381A"/>
    <w:rsid w:val="3F667892"/>
    <w:rsid w:val="3F7E27EB"/>
    <w:rsid w:val="3F7F7599"/>
    <w:rsid w:val="3F875848"/>
    <w:rsid w:val="3FF4CAE0"/>
    <w:rsid w:val="3FF7B227"/>
    <w:rsid w:val="4066706E"/>
    <w:rsid w:val="40B604B8"/>
    <w:rsid w:val="40DA73F3"/>
    <w:rsid w:val="40F07398"/>
    <w:rsid w:val="410F43CA"/>
    <w:rsid w:val="412907F7"/>
    <w:rsid w:val="41623E54"/>
    <w:rsid w:val="41B75ADD"/>
    <w:rsid w:val="424F7C00"/>
    <w:rsid w:val="42E816D2"/>
    <w:rsid w:val="42FB2C82"/>
    <w:rsid w:val="43446568"/>
    <w:rsid w:val="434C71F8"/>
    <w:rsid w:val="43C5363E"/>
    <w:rsid w:val="43CB1CC4"/>
    <w:rsid w:val="43FA6097"/>
    <w:rsid w:val="440A7DD5"/>
    <w:rsid w:val="440E72B6"/>
    <w:rsid w:val="44E268DA"/>
    <w:rsid w:val="44E92D30"/>
    <w:rsid w:val="44FA5C39"/>
    <w:rsid w:val="450D13D7"/>
    <w:rsid w:val="45506656"/>
    <w:rsid w:val="46323738"/>
    <w:rsid w:val="4639523E"/>
    <w:rsid w:val="46901553"/>
    <w:rsid w:val="46C11D22"/>
    <w:rsid w:val="46DE70D4"/>
    <w:rsid w:val="47110F40"/>
    <w:rsid w:val="474C3E84"/>
    <w:rsid w:val="4764152B"/>
    <w:rsid w:val="484A3DA7"/>
    <w:rsid w:val="486A6C7A"/>
    <w:rsid w:val="487B4576"/>
    <w:rsid w:val="48B06FCF"/>
    <w:rsid w:val="49DE41BE"/>
    <w:rsid w:val="49F0795B"/>
    <w:rsid w:val="4A2D19BE"/>
    <w:rsid w:val="4A610F14"/>
    <w:rsid w:val="4A627F82"/>
    <w:rsid w:val="4AD41253"/>
    <w:rsid w:val="4B0E749A"/>
    <w:rsid w:val="4B2477C4"/>
    <w:rsid w:val="4B4F25DA"/>
    <w:rsid w:val="4B783F5F"/>
    <w:rsid w:val="4BA22BA5"/>
    <w:rsid w:val="4BE068DB"/>
    <w:rsid w:val="4BE21410"/>
    <w:rsid w:val="4BE25B8D"/>
    <w:rsid w:val="4BEE5222"/>
    <w:rsid w:val="4BEF4EA2"/>
    <w:rsid w:val="4C2B7286"/>
    <w:rsid w:val="4C8D6025"/>
    <w:rsid w:val="4CDC3826"/>
    <w:rsid w:val="4CE566B4"/>
    <w:rsid w:val="4D0D51AE"/>
    <w:rsid w:val="4D577224"/>
    <w:rsid w:val="4D7D11B1"/>
    <w:rsid w:val="4DAB5178"/>
    <w:rsid w:val="4DBF1CEB"/>
    <w:rsid w:val="4DF0007C"/>
    <w:rsid w:val="4E261D57"/>
    <w:rsid w:val="4E4D6006"/>
    <w:rsid w:val="4EAB630A"/>
    <w:rsid w:val="4EBA013D"/>
    <w:rsid w:val="4EBF26E4"/>
    <w:rsid w:val="4ECE2238"/>
    <w:rsid w:val="4F473CA0"/>
    <w:rsid w:val="4F4F32AA"/>
    <w:rsid w:val="4F833267"/>
    <w:rsid w:val="4FE9BD67"/>
    <w:rsid w:val="4FFB052F"/>
    <w:rsid w:val="506F3702"/>
    <w:rsid w:val="510A1382"/>
    <w:rsid w:val="51831B16"/>
    <w:rsid w:val="519B66F3"/>
    <w:rsid w:val="51AF7912"/>
    <w:rsid w:val="51CA2007"/>
    <w:rsid w:val="52054A9D"/>
    <w:rsid w:val="521450B8"/>
    <w:rsid w:val="52840BEF"/>
    <w:rsid w:val="528D14FE"/>
    <w:rsid w:val="5296438C"/>
    <w:rsid w:val="537E6D0A"/>
    <w:rsid w:val="53AB0651"/>
    <w:rsid w:val="53F74C96"/>
    <w:rsid w:val="54656B86"/>
    <w:rsid w:val="54AF027F"/>
    <w:rsid w:val="54E33BD1"/>
    <w:rsid w:val="55170BA8"/>
    <w:rsid w:val="551D2AB1"/>
    <w:rsid w:val="553218C9"/>
    <w:rsid w:val="55494BFA"/>
    <w:rsid w:val="55E502FC"/>
    <w:rsid w:val="56193C4E"/>
    <w:rsid w:val="567E1AA5"/>
    <w:rsid w:val="569F51AC"/>
    <w:rsid w:val="56E47B74"/>
    <w:rsid w:val="56E670D5"/>
    <w:rsid w:val="570E1063"/>
    <w:rsid w:val="57175D52"/>
    <w:rsid w:val="5735569F"/>
    <w:rsid w:val="57952240"/>
    <w:rsid w:val="57BD3DD4"/>
    <w:rsid w:val="57BE7B82"/>
    <w:rsid w:val="57EA3EC9"/>
    <w:rsid w:val="581B7F1B"/>
    <w:rsid w:val="585A7A00"/>
    <w:rsid w:val="587E693B"/>
    <w:rsid w:val="58B31393"/>
    <w:rsid w:val="58C02C27"/>
    <w:rsid w:val="59353EEB"/>
    <w:rsid w:val="5A1C2EE4"/>
    <w:rsid w:val="5A9F7C3A"/>
    <w:rsid w:val="5ACF0409"/>
    <w:rsid w:val="5AF92295"/>
    <w:rsid w:val="5B250254"/>
    <w:rsid w:val="5B4A4EFA"/>
    <w:rsid w:val="5B5E47F5"/>
    <w:rsid w:val="5BDD79E6"/>
    <w:rsid w:val="5BF117E5"/>
    <w:rsid w:val="5BF561CA"/>
    <w:rsid w:val="5BFF5DFC"/>
    <w:rsid w:val="5C476580"/>
    <w:rsid w:val="5C871CD9"/>
    <w:rsid w:val="5CD71FC4"/>
    <w:rsid w:val="5CEB19FD"/>
    <w:rsid w:val="5D1F11B5"/>
    <w:rsid w:val="5D4E6911"/>
    <w:rsid w:val="5D695134"/>
    <w:rsid w:val="5DA00227"/>
    <w:rsid w:val="5DAE1B18"/>
    <w:rsid w:val="5DE7D9E5"/>
    <w:rsid w:val="5E0D665D"/>
    <w:rsid w:val="5E440D35"/>
    <w:rsid w:val="5E48773B"/>
    <w:rsid w:val="5ECEC941"/>
    <w:rsid w:val="5F332BBC"/>
    <w:rsid w:val="5F392547"/>
    <w:rsid w:val="5F4609F6"/>
    <w:rsid w:val="5F4E4A6A"/>
    <w:rsid w:val="5F5B0A33"/>
    <w:rsid w:val="5F744CAA"/>
    <w:rsid w:val="5FA266F3"/>
    <w:rsid w:val="5FBB761D"/>
    <w:rsid w:val="5FBF9FF3"/>
    <w:rsid w:val="5FCD4E2C"/>
    <w:rsid w:val="5FE1785D"/>
    <w:rsid w:val="5FEF394A"/>
    <w:rsid w:val="5FF6617D"/>
    <w:rsid w:val="5FF67715"/>
    <w:rsid w:val="60235D47"/>
    <w:rsid w:val="60467201"/>
    <w:rsid w:val="606210AF"/>
    <w:rsid w:val="60E0197E"/>
    <w:rsid w:val="610A6045"/>
    <w:rsid w:val="61B606DC"/>
    <w:rsid w:val="61CB4DFE"/>
    <w:rsid w:val="62BF3928"/>
    <w:rsid w:val="62F435E7"/>
    <w:rsid w:val="63A24A04"/>
    <w:rsid w:val="63B3701E"/>
    <w:rsid w:val="63C03FB5"/>
    <w:rsid w:val="64041226"/>
    <w:rsid w:val="64343F73"/>
    <w:rsid w:val="645B63B1"/>
    <w:rsid w:val="646B1ECF"/>
    <w:rsid w:val="647F5392"/>
    <w:rsid w:val="64C45DE1"/>
    <w:rsid w:val="651E1972"/>
    <w:rsid w:val="654031AC"/>
    <w:rsid w:val="65670E6D"/>
    <w:rsid w:val="65AF1261"/>
    <w:rsid w:val="65E66580"/>
    <w:rsid w:val="662A0BAB"/>
    <w:rsid w:val="66444FD8"/>
    <w:rsid w:val="664B1D71"/>
    <w:rsid w:val="664B4E8E"/>
    <w:rsid w:val="671D4CBB"/>
    <w:rsid w:val="67277B67"/>
    <w:rsid w:val="67AA3209"/>
    <w:rsid w:val="67CF6CDD"/>
    <w:rsid w:val="683A304B"/>
    <w:rsid w:val="689457A1"/>
    <w:rsid w:val="68BF65E6"/>
    <w:rsid w:val="696E0D08"/>
    <w:rsid w:val="698D0931"/>
    <w:rsid w:val="69B97B02"/>
    <w:rsid w:val="6A570C85"/>
    <w:rsid w:val="6A7FE5F3"/>
    <w:rsid w:val="6A935267"/>
    <w:rsid w:val="6AD824D8"/>
    <w:rsid w:val="6ADF4062"/>
    <w:rsid w:val="6B02079E"/>
    <w:rsid w:val="6B053271"/>
    <w:rsid w:val="6B0655A6"/>
    <w:rsid w:val="6B28355C"/>
    <w:rsid w:val="6BDD78B3"/>
    <w:rsid w:val="6C375918"/>
    <w:rsid w:val="6C4A05C8"/>
    <w:rsid w:val="6C74577D"/>
    <w:rsid w:val="6C8742B8"/>
    <w:rsid w:val="6DBF3489"/>
    <w:rsid w:val="6DBF5E93"/>
    <w:rsid w:val="6DFF077E"/>
    <w:rsid w:val="6E550908"/>
    <w:rsid w:val="6E714EF0"/>
    <w:rsid w:val="6E7E3605"/>
    <w:rsid w:val="6E7FDCC7"/>
    <w:rsid w:val="6EA72219"/>
    <w:rsid w:val="6EBC17AF"/>
    <w:rsid w:val="6EBE403D"/>
    <w:rsid w:val="6ED6A62E"/>
    <w:rsid w:val="6EE00B15"/>
    <w:rsid w:val="6EE75201"/>
    <w:rsid w:val="6F0425B3"/>
    <w:rsid w:val="6F174DC6"/>
    <w:rsid w:val="6F310AF8"/>
    <w:rsid w:val="6F357F21"/>
    <w:rsid w:val="6F6FB3EB"/>
    <w:rsid w:val="6F8731EA"/>
    <w:rsid w:val="6F8D3ABE"/>
    <w:rsid w:val="6FCE6052"/>
    <w:rsid w:val="6FD57C00"/>
    <w:rsid w:val="6FEFFFD8"/>
    <w:rsid w:val="6FF5CC65"/>
    <w:rsid w:val="6FF67A19"/>
    <w:rsid w:val="6FFB47EC"/>
    <w:rsid w:val="6FFF034A"/>
    <w:rsid w:val="703716AB"/>
    <w:rsid w:val="70484440"/>
    <w:rsid w:val="70B25771"/>
    <w:rsid w:val="71213E9D"/>
    <w:rsid w:val="712A28F1"/>
    <w:rsid w:val="713A21D2"/>
    <w:rsid w:val="715C0E4B"/>
    <w:rsid w:val="71633397"/>
    <w:rsid w:val="71992E7C"/>
    <w:rsid w:val="71B61B1C"/>
    <w:rsid w:val="71E75ACC"/>
    <w:rsid w:val="720B1226"/>
    <w:rsid w:val="72233669"/>
    <w:rsid w:val="72734D90"/>
    <w:rsid w:val="72D231ED"/>
    <w:rsid w:val="72F16021"/>
    <w:rsid w:val="730162BB"/>
    <w:rsid w:val="73160E6D"/>
    <w:rsid w:val="7332FE48"/>
    <w:rsid w:val="73525B09"/>
    <w:rsid w:val="73866514"/>
    <w:rsid w:val="73AB61DA"/>
    <w:rsid w:val="73AD73D5"/>
    <w:rsid w:val="73B6EB34"/>
    <w:rsid w:val="73D61FE1"/>
    <w:rsid w:val="73FA497D"/>
    <w:rsid w:val="740C41EF"/>
    <w:rsid w:val="743608B6"/>
    <w:rsid w:val="744731E5"/>
    <w:rsid w:val="74AB4F49"/>
    <w:rsid w:val="74AD3D78"/>
    <w:rsid w:val="74BBD01D"/>
    <w:rsid w:val="74ED5379"/>
    <w:rsid w:val="757A7C49"/>
    <w:rsid w:val="75DEEEC2"/>
    <w:rsid w:val="75E32345"/>
    <w:rsid w:val="75E605FD"/>
    <w:rsid w:val="765C30F3"/>
    <w:rsid w:val="766F346D"/>
    <w:rsid w:val="7683168D"/>
    <w:rsid w:val="76BA6056"/>
    <w:rsid w:val="76C80BEF"/>
    <w:rsid w:val="76E3355F"/>
    <w:rsid w:val="76E3721B"/>
    <w:rsid w:val="76FD7DC5"/>
    <w:rsid w:val="76FF5125"/>
    <w:rsid w:val="772605C7"/>
    <w:rsid w:val="776F6FFA"/>
    <w:rsid w:val="77771C8D"/>
    <w:rsid w:val="778769C8"/>
    <w:rsid w:val="778C092D"/>
    <w:rsid w:val="77A75DCA"/>
    <w:rsid w:val="77C3210C"/>
    <w:rsid w:val="77DB1C54"/>
    <w:rsid w:val="77DC22F5"/>
    <w:rsid w:val="77DC5234"/>
    <w:rsid w:val="783E271A"/>
    <w:rsid w:val="78616DE9"/>
    <w:rsid w:val="78E875D7"/>
    <w:rsid w:val="79086DAD"/>
    <w:rsid w:val="790E68AB"/>
    <w:rsid w:val="79427FFF"/>
    <w:rsid w:val="795D3716"/>
    <w:rsid w:val="796614B8"/>
    <w:rsid w:val="796A3742"/>
    <w:rsid w:val="797256D1"/>
    <w:rsid w:val="798961F5"/>
    <w:rsid w:val="79D7FD79"/>
    <w:rsid w:val="79EE5BA4"/>
    <w:rsid w:val="79FF3C35"/>
    <w:rsid w:val="7A0D09CC"/>
    <w:rsid w:val="7A843E8E"/>
    <w:rsid w:val="7A894339"/>
    <w:rsid w:val="7ABE2D6E"/>
    <w:rsid w:val="7AD284E8"/>
    <w:rsid w:val="7ADC7DA0"/>
    <w:rsid w:val="7AFF7572"/>
    <w:rsid w:val="7B1014F4"/>
    <w:rsid w:val="7B174702"/>
    <w:rsid w:val="7B365EB0"/>
    <w:rsid w:val="7B5B3EF1"/>
    <w:rsid w:val="7B6C7DFB"/>
    <w:rsid w:val="7B7A0F23"/>
    <w:rsid w:val="7BBFBED0"/>
    <w:rsid w:val="7BC3E394"/>
    <w:rsid w:val="7C1F3737"/>
    <w:rsid w:val="7CBFC87B"/>
    <w:rsid w:val="7CFE0F48"/>
    <w:rsid w:val="7D272ABC"/>
    <w:rsid w:val="7D2D3DED"/>
    <w:rsid w:val="7D347526"/>
    <w:rsid w:val="7D7EC23E"/>
    <w:rsid w:val="7D925D0F"/>
    <w:rsid w:val="7DB704CD"/>
    <w:rsid w:val="7DEB45B1"/>
    <w:rsid w:val="7E3E74AD"/>
    <w:rsid w:val="7E46233B"/>
    <w:rsid w:val="7E5228CA"/>
    <w:rsid w:val="7E8ADEBF"/>
    <w:rsid w:val="7EEF11D3"/>
    <w:rsid w:val="7EFE4840"/>
    <w:rsid w:val="7F0971A6"/>
    <w:rsid w:val="7F1D62E7"/>
    <w:rsid w:val="7F3F679B"/>
    <w:rsid w:val="7F4FC4EF"/>
    <w:rsid w:val="7F5A6980"/>
    <w:rsid w:val="7F5E4D54"/>
    <w:rsid w:val="7F6E0135"/>
    <w:rsid w:val="7F79F205"/>
    <w:rsid w:val="7F8D6DCF"/>
    <w:rsid w:val="7F9E1775"/>
    <w:rsid w:val="7FA30C79"/>
    <w:rsid w:val="7FA731FC"/>
    <w:rsid w:val="7FA79C44"/>
    <w:rsid w:val="7FAF8ABF"/>
    <w:rsid w:val="7FB7269E"/>
    <w:rsid w:val="7FB9221D"/>
    <w:rsid w:val="7FC5602F"/>
    <w:rsid w:val="7FC96657"/>
    <w:rsid w:val="7FD14040"/>
    <w:rsid w:val="7FDA9588"/>
    <w:rsid w:val="7FDF220F"/>
    <w:rsid w:val="7FEDC5F7"/>
    <w:rsid w:val="7FEDD9DE"/>
    <w:rsid w:val="7FF5890D"/>
    <w:rsid w:val="7FF93490"/>
    <w:rsid w:val="99FF2014"/>
    <w:rsid w:val="A6DD0D7F"/>
    <w:rsid w:val="ACFF4FBB"/>
    <w:rsid w:val="ADC6F725"/>
    <w:rsid w:val="B7CF06AB"/>
    <w:rsid w:val="B7CFA926"/>
    <w:rsid w:val="B7F8786B"/>
    <w:rsid w:val="BABB6AA1"/>
    <w:rsid w:val="BB2F4199"/>
    <w:rsid w:val="BCFFB442"/>
    <w:rsid w:val="BD079C78"/>
    <w:rsid w:val="BD733540"/>
    <w:rsid w:val="BF3735D5"/>
    <w:rsid w:val="BF7F09AC"/>
    <w:rsid w:val="BFD475C3"/>
    <w:rsid w:val="BFDE5EA6"/>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F722E5"/>
    <w:rsid w:val="F4FBCD07"/>
    <w:rsid w:val="FA5F1E70"/>
    <w:rsid w:val="FA5FDB97"/>
    <w:rsid w:val="FB7F486A"/>
    <w:rsid w:val="FBFF5B2E"/>
    <w:rsid w:val="FD7FFE2B"/>
    <w:rsid w:val="FDEE196B"/>
    <w:rsid w:val="FDFE6575"/>
    <w:rsid w:val="FEDFDDC2"/>
    <w:rsid w:val="FEED32F6"/>
    <w:rsid w:val="FEF781DD"/>
    <w:rsid w:val="FF3F7E3F"/>
    <w:rsid w:val="FFBA12D7"/>
    <w:rsid w:val="FFCBD314"/>
    <w:rsid w:val="FFDFF91C"/>
    <w:rsid w:val="FFDFFAEE"/>
    <w:rsid w:val="FFEF6777"/>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6">
    <w:name w:val="Default Paragraph Font"/>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5"/>
    <w:qFormat/>
    <w:uiPriority w:val="99"/>
    <w:pPr>
      <w:spacing w:beforeLines="30"/>
    </w:pPr>
    <w:rPr>
      <w:rFonts w:ascii="仿宋_GB2312" w:eastAsia="仿宋_GB2312"/>
      <w:kern w:val="0"/>
      <w:sz w:val="30"/>
    </w:rPr>
  </w:style>
  <w:style w:type="paragraph" w:styleId="6">
    <w:name w:val="Body Text Indent"/>
    <w:basedOn w:val="1"/>
    <w:next w:val="7"/>
    <w:qFormat/>
    <w:uiPriority w:val="0"/>
    <w:pPr>
      <w:spacing w:after="120"/>
      <w:ind w:leftChars="200"/>
    </w:pPr>
    <w:rPr>
      <w:rFonts w:ascii="仿宋_GB2312"/>
      <w:szCs w:val="32"/>
    </w:rPr>
  </w:style>
  <w:style w:type="paragraph" w:styleId="7">
    <w:name w:val="Body Text First Indent 2"/>
    <w:basedOn w:val="6"/>
    <w:unhideWhenUsed/>
    <w:qFormat/>
    <w:uiPriority w:val="99"/>
    <w:pPr>
      <w:ind w:firstLine="420" w:firstLineChars="200"/>
    </w:p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1"/>
    <w:semiHidden/>
    <w:unhideWhenUsed/>
    <w:qFormat/>
    <w:uiPriority w:val="99"/>
    <w:rPr>
      <w:sz w:val="18"/>
      <w:szCs w:val="18"/>
    </w:rPr>
  </w:style>
  <w:style w:type="paragraph" w:styleId="10">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footnote text"/>
    <w:basedOn w:val="1"/>
    <w:next w:val="7"/>
    <w:semiHidden/>
    <w:qFormat/>
    <w:uiPriority w:val="0"/>
    <w:pPr>
      <w:snapToGrid w:val="0"/>
      <w:jc w:val="left"/>
    </w:pPr>
    <w:rPr>
      <w:sz w:val="18"/>
      <w:szCs w:val="18"/>
    </w:rPr>
  </w:style>
  <w:style w:type="paragraph" w:styleId="14">
    <w:name w:val="toc 2"/>
    <w:basedOn w:val="1"/>
    <w:next w:val="1"/>
    <w:unhideWhenUsed/>
    <w:qFormat/>
    <w:uiPriority w:val="39"/>
    <w:pPr>
      <w:tabs>
        <w:tab w:val="right" w:leader="dot" w:pos="8296"/>
      </w:tabs>
      <w:ind w:left="420" w:left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paragraph" w:customStyle="1" w:styleId="19">
    <w:name w:val="标题 5（有编号）（绿盟科技）"/>
    <w:next w:val="1"/>
    <w:qFormat/>
    <w:uiPriority w:val="99"/>
    <w:pPr>
      <w:keepNext/>
      <w:keepLines/>
      <w:widowControl w:val="0"/>
      <w:spacing w:before="280" w:after="156" w:line="377" w:lineRule="auto"/>
      <w:jc w:val="left"/>
      <w:outlineLvl w:val="4"/>
    </w:pPr>
    <w:rPr>
      <w:rFonts w:ascii="Arial" w:hAnsi="Arial" w:eastAsia="黑体" w:cs="Times New Roman"/>
      <w:b/>
      <w:kern w:val="2"/>
      <w:sz w:val="24"/>
      <w:szCs w:val="28"/>
      <w:lang w:val="en-US" w:eastAsia="zh-CN" w:bidi="ar-SA"/>
    </w:rPr>
  </w:style>
  <w:style w:type="character" w:customStyle="1" w:styleId="20">
    <w:name w:val="Header Char"/>
    <w:basedOn w:val="16"/>
    <w:semiHidden/>
    <w:qFormat/>
    <w:uiPriority w:val="99"/>
    <w:rPr>
      <w:rFonts w:ascii="Times New Roman" w:hAnsi="Times New Roman"/>
      <w:sz w:val="18"/>
      <w:szCs w:val="18"/>
    </w:rPr>
  </w:style>
  <w:style w:type="character" w:customStyle="1" w:styleId="21">
    <w:name w:val="页眉 Char"/>
    <w:link w:val="11"/>
    <w:semiHidden/>
    <w:qFormat/>
    <w:locked/>
    <w:uiPriority w:val="99"/>
    <w:rPr>
      <w:sz w:val="18"/>
    </w:rPr>
  </w:style>
  <w:style w:type="character" w:customStyle="1" w:styleId="22">
    <w:name w:val="Footer Char"/>
    <w:basedOn w:val="16"/>
    <w:semiHidden/>
    <w:qFormat/>
    <w:uiPriority w:val="99"/>
    <w:rPr>
      <w:rFonts w:ascii="Times New Roman" w:hAnsi="Times New Roman"/>
      <w:sz w:val="18"/>
      <w:szCs w:val="18"/>
    </w:rPr>
  </w:style>
  <w:style w:type="character" w:customStyle="1" w:styleId="23">
    <w:name w:val="页脚 Char"/>
    <w:link w:val="10"/>
    <w:qFormat/>
    <w:locked/>
    <w:uiPriority w:val="99"/>
    <w:rPr>
      <w:sz w:val="18"/>
    </w:rPr>
  </w:style>
  <w:style w:type="character" w:customStyle="1" w:styleId="24">
    <w:name w:val="Body Text Char"/>
    <w:basedOn w:val="16"/>
    <w:semiHidden/>
    <w:qFormat/>
    <w:uiPriority w:val="99"/>
    <w:rPr>
      <w:rFonts w:ascii="Times New Roman" w:hAnsi="Times New Roman"/>
      <w:szCs w:val="24"/>
    </w:rPr>
  </w:style>
  <w:style w:type="character" w:customStyle="1" w:styleId="25">
    <w:name w:val="正文文本 Char"/>
    <w:link w:val="2"/>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6"/>
    <w:link w:val="3"/>
    <w:qFormat/>
    <w:uiPriority w:val="9"/>
    <w:rPr>
      <w:rFonts w:ascii="Times New Roman" w:hAnsi="Times New Roman"/>
      <w:b/>
      <w:bCs/>
      <w:kern w:val="44"/>
      <w:sz w:val="44"/>
      <w:szCs w:val="44"/>
    </w:rPr>
  </w:style>
  <w:style w:type="character" w:customStyle="1" w:styleId="29">
    <w:name w:val="标题 2 Char"/>
    <w:basedOn w:val="16"/>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Char"/>
    <w:basedOn w:val="16"/>
    <w:link w:val="9"/>
    <w:semiHidden/>
    <w:qFormat/>
    <w:uiPriority w:val="99"/>
    <w:rPr>
      <w:rFonts w:ascii="Times New Roman" w:hAnsi="Times New Roman"/>
      <w:kern w:val="2"/>
      <w:sz w:val="18"/>
      <w:szCs w:val="18"/>
    </w:rPr>
  </w:style>
  <w:style w:type="character" w:customStyle="1" w:styleId="32">
    <w:name w:val="标题 3 Char"/>
    <w:basedOn w:val="16"/>
    <w:link w:val="5"/>
    <w:qFormat/>
    <w:uiPriority w:val="9"/>
    <w:rPr>
      <w:rFonts w:ascii="Times New Roman" w:hAnsi="Times New Roman"/>
      <w:b/>
      <w:bCs/>
      <w:kern w:val="2"/>
      <w:sz w:val="32"/>
      <w:szCs w:val="32"/>
    </w:rPr>
  </w:style>
  <w:style w:type="paragraph" w:customStyle="1" w:styleId="33">
    <w:name w:val="TOC Heading"/>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四号正文"/>
    <w:basedOn w:val="1"/>
    <w:qFormat/>
    <w:uiPriority w:val="0"/>
    <w:pPr>
      <w:spacing w:line="360" w:lineRule="auto"/>
    </w:pPr>
    <w:rPr>
      <w:rFonts w:ascii="??" w:hAnsi="??" w:eastAsia="宋体"/>
      <w:color w:val="000000"/>
      <w:kern w:val="0"/>
      <w:sz w:val="28"/>
      <w:szCs w:val="21"/>
      <w:lang w:val="zh-CN" w:eastAsia="zh-C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chart" Target="charts/chart7.xml"/><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E:\&#25991;&#26723;E\cw\2024\&#20915;&#31639;\&#20915;&#31639;&#20844;&#24320;\&#22270;&#34920;&#21046;&#20316;.xlsx" TargetMode="External"/></Relationships>
</file>

<file path=word/charts/_rels/chart2.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chartUserShapes" Target="../drawings/drawing2.xml"/><Relationship Id="rId1" Type="http://schemas.openxmlformats.org/officeDocument/2006/relationships/oleObject" Target="file:///E:\&#25991;&#26723;E\cw\2024\&#20915;&#31639;\&#20915;&#31639;&#20844;&#24320;\&#22270;&#34920;&#21046;&#20316;.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E:\&#25991;&#26723;E\cw\2024\&#20915;&#31639;\&#20915;&#31639;&#20844;&#24320;\&#22270;&#34920;&#21046;&#20316;.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E:\&#25991;&#26723;E\cw\2024\&#20915;&#31639;\&#20915;&#31639;&#20844;&#24320;\&#22270;&#34920;&#21046;&#20316;.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E:\&#25991;&#26723;E\cw\2024\&#20915;&#31639;\&#20915;&#31639;&#20844;&#24320;\&#22270;&#34920;&#21046;&#20316;.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E:\&#25991;&#26723;E\cw\2024\&#20915;&#31639;\&#20915;&#31639;&#20844;&#24320;\&#22270;&#34920;&#21046;&#20316;.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E:\&#25991;&#26723;E\cw\2024\&#20915;&#31639;\&#20915;&#31639;&#20844;&#24320;\&#22270;&#34920;&#21046;&#20316;.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[图表制作.xlsx]Sheet1!$A$3</c:f>
              <c:strCache>
                <c:ptCount val="1"/>
                <c:pt idx="0">
                  <c:v>2024年</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[图表制作.xlsx]Sheet1!$B$2:$C$2</c:f>
              <c:strCache>
                <c:ptCount val="2"/>
                <c:pt idx="0">
                  <c:v>收入总计</c:v>
                </c:pt>
                <c:pt idx="1">
                  <c:v>支出总计</c:v>
                </c:pt>
              </c:strCache>
            </c:strRef>
          </c:cat>
          <c:val>
            <c:numRef>
              <c:f>[图表制作.xlsx]Sheet1!$B$3:$C$3</c:f>
              <c:numCache>
                <c:formatCode>General</c:formatCode>
                <c:ptCount val="2"/>
                <c:pt idx="0">
                  <c:v>658.31</c:v>
                </c:pt>
                <c:pt idx="1">
                  <c:v>658.31</c:v>
                </c:pt>
              </c:numCache>
            </c:numRef>
          </c:val>
        </c:ser>
        <c:ser>
          <c:idx val="1"/>
          <c:order val="1"/>
          <c:tx>
            <c:strRef>
              <c:f>[图表制作.xlsx]Sheet1!$A$4</c:f>
              <c:strCache>
                <c:ptCount val="1"/>
                <c:pt idx="0">
                  <c:v>2023年</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[图表制作.xlsx]Sheet1!$B$2:$C$2</c:f>
              <c:strCache>
                <c:ptCount val="2"/>
                <c:pt idx="0">
                  <c:v>收入总计</c:v>
                </c:pt>
                <c:pt idx="1">
                  <c:v>支出总计</c:v>
                </c:pt>
              </c:strCache>
            </c:strRef>
          </c:cat>
          <c:val>
            <c:numRef>
              <c:f>[图表制作.xlsx]Sheet1!$B$4:$C$4</c:f>
              <c:numCache>
                <c:formatCode>General</c:formatCode>
                <c:ptCount val="2"/>
                <c:pt idx="0">
                  <c:v>578.23</c:v>
                </c:pt>
                <c:pt idx="1">
                  <c:v>578.23</c:v>
                </c:pt>
              </c:numCache>
            </c:numRef>
          </c:val>
        </c:ser>
        <c:dLbls>
          <c:showLegendKey val="0"/>
          <c:showVal val="0"/>
          <c:showCatName val="0"/>
          <c:showSerName val="0"/>
          <c:showPercent val="0"/>
          <c:showBubbleSize val="0"/>
        </c:dLbls>
        <c:gapWidth val="150"/>
        <c:axId val="151650688"/>
        <c:axId val="151652224"/>
      </c:barChart>
      <c:catAx>
        <c:axId val="151650688"/>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51652224"/>
        <c:crosses val="autoZero"/>
        <c:auto val="1"/>
        <c:lblAlgn val="ctr"/>
        <c:lblOffset val="100"/>
        <c:noMultiLvlLbl val="0"/>
      </c:catAx>
      <c:valAx>
        <c:axId val="151652224"/>
        <c:scaling>
          <c:orientation val="minMax"/>
          <c:max val="700"/>
          <c:min val="0"/>
        </c:scaling>
        <c:delete val="0"/>
        <c:axPos val="l"/>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51650688"/>
        <c:crosses val="autoZero"/>
        <c:crossBetween val="between"/>
        <c:majorUnit val="50"/>
        <c:minorUnit val="2"/>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gap"/>
    <c:showDLblsOverMax val="0"/>
    <c:extLst>
      <c:ext uri="{0b15fc19-7d7d-44ad-8c2d-2c3a37ce22c3}">
        <chartProps xmlns="https://web.wps.cn/et/2018/main" chartId="{e9ca0d26-9568-4a58-ac34-8d2e941cc8d1}"/>
      </c:ext>
    </c:extLst>
  </c:chart>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75"/>
      <c:rotY val="0"/>
      <c:depthPercent val="100"/>
      <c:rAngAx val="0"/>
      <c:perspective val="30"/>
    </c:view3D>
    <c:floor>
      <c:thickness val="0"/>
      <c:spPr>
        <a:noFill/>
        <a:effectLst/>
      </c:spPr>
    </c:floor>
    <c:sideWall>
      <c:thickness val="0"/>
      <c:spPr>
        <a:noFill/>
        <a:effectLst/>
      </c:spPr>
    </c:sideWall>
    <c:backWall>
      <c:thickness val="0"/>
      <c:spPr>
        <a:noFill/>
        <a:effectLst/>
      </c:spPr>
    </c:backWall>
    <c:plotArea>
      <c:layout>
        <c:manualLayout>
          <c:layoutTarget val="inner"/>
          <c:xMode val="edge"/>
          <c:yMode val="edge"/>
          <c:x val="0.0984338624338624"/>
          <c:y val="0.114120325203252"/>
          <c:w val="0.79805291005291"/>
          <c:h val="0.624442276422764"/>
        </c:manualLayout>
      </c:layout>
      <c:pie3DChart>
        <c:varyColors val="1"/>
        <c:ser>
          <c:idx val="0"/>
          <c:order val="0"/>
          <c:spPr>
            <a:scene3d>
              <a:camera prst="orthographicFront"/>
              <a:lightRig rig="threePt" dir="t"/>
            </a:scene3d>
            <a:sp3d contourW="25400"/>
          </c:spPr>
          <c:explosion val="0"/>
          <c:dPt>
            <c:idx val="0"/>
            <c:bubble3D val="0"/>
            <c:spPr>
              <a:solidFill>
                <a:schemeClr val="accent1"/>
              </a:solidFill>
              <a:ln w="25400">
                <a:solidFill>
                  <a:schemeClr val="lt1"/>
                </a:solidFill>
              </a:ln>
              <a:effectLst/>
            </c:spPr>
          </c:dPt>
          <c:dPt>
            <c:idx val="1"/>
            <c:bubble3D val="0"/>
            <c:spPr>
              <a:solidFill>
                <a:schemeClr val="accent2"/>
              </a:solidFill>
              <a:ln w="25400">
                <a:solidFill>
                  <a:schemeClr val="lt1"/>
                </a:solidFill>
              </a:ln>
              <a:effectLst/>
            </c:spPr>
          </c:dPt>
          <c:dLbls>
            <c:dLbl>
              <c:idx val="1"/>
              <c:layout>
                <c:manualLayout>
                  <c:x val="0.165079365079365"/>
                  <c:y val="0.126829268292683"/>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[图表制作.xlsx]Sheet1!$A$13:$A$14</c:f>
              <c:strCache>
                <c:ptCount val="2"/>
                <c:pt idx="0">
                  <c:v>一般公共预算财政拨款收入</c:v>
                </c:pt>
                <c:pt idx="1">
                  <c:v>其他收入</c:v>
                </c:pt>
              </c:strCache>
            </c:strRef>
          </c:cat>
          <c:val>
            <c:numRef>
              <c:f>[图表制作.xlsx]Sheet1!$B$13:$B$14</c:f>
              <c:numCache>
                <c:formatCode>General</c:formatCode>
                <c:ptCount val="2"/>
                <c:pt idx="0">
                  <c:v>371.56</c:v>
                </c:pt>
                <c:pt idx="1">
                  <c:v>197.18</c:v>
                </c:pt>
              </c:numCache>
            </c:numRef>
          </c:val>
        </c:ser>
        <c:dLbls>
          <c:showLegendKey val="0"/>
          <c:showVal val="0"/>
          <c:showCatName val="0"/>
          <c:showSerName val="0"/>
          <c:showPercent val="1"/>
          <c:showBubbleSize val="0"/>
        </c:dLbls>
      </c:pie3D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9ed4f97a-99f0-4790-ac0e-30263afdc503}"/>
      </c:ext>
    </c:extLst>
  </c:chart>
  <c:spPr>
    <a:solidFill>
      <a:schemeClr val="bg1"/>
    </a:solidFill>
    <a:ln w="9525" cap="flat" cmpd="sng" algn="ctr">
      <a:solidFill>
        <a:schemeClr val="tx1"/>
      </a:solidFill>
      <a:round/>
    </a:ln>
    <a:effectLst/>
  </c:spPr>
  <c:txPr>
    <a:bodyPr/>
    <a:lstStyle/>
    <a:p>
      <a:pPr>
        <a:defRPr lang="zh-CN"/>
      </a:pPr>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sz="1000" b="0">
                <a:latin typeface="宋体" panose="02010600030101010101" charset="-122"/>
                <a:ea typeface="宋体" panose="02010600030101010101" charset="-122"/>
              </a:rPr>
              <a:t>单位：万元</a:t>
            </a:r>
            <a:endParaRPr lang="zh-CN" altLang="en-US" sz="1000" b="0">
              <a:latin typeface="宋体" panose="02010600030101010101" charset="-122"/>
              <a:ea typeface="宋体" panose="02010600030101010101" charset="-122"/>
            </a:endParaRPr>
          </a:p>
        </c:rich>
      </c:tx>
      <c:layout>
        <c:manualLayout>
          <c:xMode val="edge"/>
          <c:yMode val="edge"/>
          <c:x val="0.780710659898477"/>
          <c:y val="0.0224271118863693"/>
        </c:manualLayout>
      </c:layout>
      <c:overlay val="0"/>
    </c:title>
    <c:autoTitleDeleted val="0"/>
    <c:view3D>
      <c:rotX val="30"/>
      <c:rotY val="0"/>
      <c:depthPercent val="100"/>
      <c:rAngAx val="0"/>
      <c:perspective val="30"/>
    </c:view3D>
    <c:floor>
      <c:thickness val="0"/>
    </c:floor>
    <c:sideWall>
      <c:thickness val="0"/>
    </c:sideWall>
    <c:backWall>
      <c:thickness val="0"/>
    </c:backWall>
    <c:plotArea>
      <c:layout>
        <c:manualLayout>
          <c:layoutTarget val="inner"/>
          <c:xMode val="edge"/>
          <c:yMode val="edge"/>
          <c:x val="0.0722077658174429"/>
          <c:y val="0.248935958136058"/>
          <c:w val="0.628656514382403"/>
          <c:h val="0.654134064291054"/>
        </c:manualLayout>
      </c:layout>
      <c:pie3DChart>
        <c:varyColors val="1"/>
        <c:ser>
          <c:idx val="0"/>
          <c:order val="0"/>
          <c:explosion val="0"/>
          <c:dPt>
            <c:idx val="0"/>
            <c:bubble3D val="0"/>
          </c:dPt>
          <c:dPt>
            <c:idx val="1"/>
            <c:bubble3D val="0"/>
          </c:dPt>
          <c:dLbls>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[图表制作.xlsx]Sheet1!$A$22:$A$23</c:f>
              <c:strCache>
                <c:ptCount val="2"/>
                <c:pt idx="0">
                  <c:v>基本支出</c:v>
                </c:pt>
                <c:pt idx="1">
                  <c:v>项目支出</c:v>
                </c:pt>
              </c:strCache>
            </c:strRef>
          </c:cat>
          <c:val>
            <c:numRef>
              <c:f>[图表制作.xlsx]Sheet1!$B$22:$B$23</c:f>
              <c:numCache>
                <c:formatCode>#,##0.00</c:formatCode>
                <c:ptCount val="2"/>
                <c:pt idx="0">
                  <c:v>225.54</c:v>
                </c:pt>
                <c:pt idx="1">
                  <c:v>360.83</c:v>
                </c:pt>
              </c:numCache>
            </c:numRef>
          </c:val>
        </c:ser>
        <c:dLbls>
          <c:showLegendKey val="0"/>
          <c:showVal val="0"/>
          <c:showCatName val="0"/>
          <c:showSerName val="0"/>
          <c:showPercent val="1"/>
          <c:showBubbleSize val="0"/>
        </c:dLbls>
      </c:pie3D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4c91a4ec-336b-4c3b-ba37-2d954ac244d2}"/>
      </c:ext>
    </c:extLst>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sz="1000" b="0">
                <a:latin typeface="宋体" panose="02010600030101010101" charset="-122"/>
                <a:ea typeface="宋体" panose="02010600030101010101" charset="-122"/>
              </a:rPr>
              <a:t>单位：万元</a:t>
            </a:r>
            <a:endParaRPr lang="zh-CN" altLang="en-US" sz="1000" b="0">
              <a:latin typeface="宋体" panose="02010600030101010101" charset="-122"/>
              <a:ea typeface="宋体" panose="02010600030101010101" charset="-122"/>
            </a:endParaRPr>
          </a:p>
        </c:rich>
      </c:tx>
      <c:layout>
        <c:manualLayout>
          <c:xMode val="edge"/>
          <c:yMode val="edge"/>
          <c:x val="0.804049416609471"/>
          <c:y val="0.0204693573792287"/>
        </c:manualLayout>
      </c:layout>
      <c:overlay val="0"/>
    </c:title>
    <c:autoTitleDeleted val="0"/>
    <c:plotArea>
      <c:layout/>
      <c:barChart>
        <c:barDir val="col"/>
        <c:grouping val="clustered"/>
        <c:varyColors val="0"/>
        <c:ser>
          <c:idx val="0"/>
          <c:order val="0"/>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[图表制作.xlsx]Sheet1!$A$46:$A$47</c:f>
              <c:strCache>
                <c:ptCount val="2"/>
                <c:pt idx="0">
                  <c:v>2024年</c:v>
                </c:pt>
                <c:pt idx="1">
                  <c:v>2023年</c:v>
                </c:pt>
              </c:strCache>
            </c:strRef>
          </c:cat>
          <c:val>
            <c:numRef>
              <c:f>[图表制作.xlsx]Sheet1!$B$46:$B$47</c:f>
              <c:numCache>
                <c:formatCode>General</c:formatCode>
                <c:ptCount val="2"/>
                <c:pt idx="0">
                  <c:v>371.56</c:v>
                </c:pt>
                <c:pt idx="1">
                  <c:v>332.74</c:v>
                </c:pt>
              </c:numCache>
            </c:numRef>
          </c:val>
        </c:ser>
        <c:dLbls>
          <c:showLegendKey val="0"/>
          <c:showVal val="0"/>
          <c:showCatName val="0"/>
          <c:showSerName val="0"/>
          <c:showPercent val="0"/>
          <c:showBubbleSize val="0"/>
        </c:dLbls>
        <c:gapWidth val="75"/>
        <c:overlap val="-25"/>
        <c:axId val="157868416"/>
        <c:axId val="157869952"/>
      </c:barChart>
      <c:catAx>
        <c:axId val="157868416"/>
        <c:scaling>
          <c:orientation val="minMax"/>
        </c:scaling>
        <c:delete val="0"/>
        <c:axPos val="b"/>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57869952"/>
        <c:crosses val="autoZero"/>
        <c:auto val="1"/>
        <c:lblAlgn val="ctr"/>
        <c:lblOffset val="100"/>
        <c:noMultiLvlLbl val="0"/>
      </c:catAx>
      <c:valAx>
        <c:axId val="157869952"/>
        <c:scaling>
          <c:orientation val="minMax"/>
          <c:max val="400"/>
          <c:min val="0"/>
        </c:scaling>
        <c:delete val="0"/>
        <c:axPos val="l"/>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57868416"/>
        <c:crosses val="autoZero"/>
        <c:crossBetween val="between"/>
        <c:majorUnit val="50"/>
        <c:minorUnit val="0.4"/>
      </c:valAx>
    </c:plotArea>
    <c:plotVisOnly val="1"/>
    <c:dispBlanksAs val="gap"/>
    <c:showDLblsOverMax val="0"/>
    <c:extLst>
      <c:ext uri="{0b15fc19-7d7d-44ad-8c2d-2c3a37ce22c3}">
        <chartProps xmlns="https://web.wps.cn/et/2018/main" chartId="{fcfaac6e-cf75-41b6-85a1-eb9aae60ac4a}"/>
      </c:ext>
    </c:extLst>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sz="1000" b="0">
                <a:latin typeface="+mn-ea"/>
              </a:rPr>
              <a:t>单位：万元</a:t>
            </a:r>
            <a:endParaRPr lang="zh-CN" altLang="en-US" sz="1000" b="0">
              <a:latin typeface="+mn-ea"/>
            </a:endParaRPr>
          </a:p>
          <a:p>
            <a:pPr>
              <a:defRPr lang="zh-CN" sz="1800" b="1" i="0" u="none" strike="noStrike" kern="1200" baseline="0">
                <a:solidFill>
                  <a:schemeClr val="tx1"/>
                </a:solidFill>
                <a:latin typeface="+mn-lt"/>
                <a:ea typeface="+mn-ea"/>
                <a:cs typeface="+mn-cs"/>
              </a:defRPr>
            </a:pPr>
            <a:endParaRPr lang="zh-CN" altLang="en-US" sz="1000" b="0">
              <a:latin typeface="+mn-ea"/>
            </a:endParaRPr>
          </a:p>
        </c:rich>
      </c:tx>
      <c:layout>
        <c:manualLayout>
          <c:xMode val="edge"/>
          <c:yMode val="edge"/>
          <c:x val="0.799168556311413"/>
          <c:y val="0.00673400673400673"/>
        </c:manualLayout>
      </c:layout>
      <c:overlay val="0"/>
    </c:title>
    <c:autoTitleDeleted val="0"/>
    <c:plotArea>
      <c:layout/>
      <c:barChart>
        <c:barDir val="col"/>
        <c:grouping val="clustered"/>
        <c:varyColors val="0"/>
        <c:ser>
          <c:idx val="0"/>
          <c:order val="0"/>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[图表制作.xlsx]Sheet1!$A$58:$A$59</c:f>
              <c:strCache>
                <c:ptCount val="2"/>
                <c:pt idx="0">
                  <c:v>2024年</c:v>
                </c:pt>
                <c:pt idx="1">
                  <c:v>2023年</c:v>
                </c:pt>
              </c:strCache>
            </c:strRef>
          </c:cat>
          <c:val>
            <c:numRef>
              <c:f>[图表制作.xlsx]Sheet1!$B$58:$B$59</c:f>
              <c:numCache>
                <c:formatCode>General</c:formatCode>
                <c:ptCount val="2"/>
                <c:pt idx="0">
                  <c:v>371.56</c:v>
                </c:pt>
                <c:pt idx="1">
                  <c:v>332.74</c:v>
                </c:pt>
              </c:numCache>
            </c:numRef>
          </c:val>
        </c:ser>
        <c:dLbls>
          <c:showLegendKey val="0"/>
          <c:showVal val="0"/>
          <c:showCatName val="0"/>
          <c:showSerName val="0"/>
          <c:showPercent val="0"/>
          <c:showBubbleSize val="0"/>
        </c:dLbls>
        <c:gapWidth val="75"/>
        <c:overlap val="-25"/>
        <c:axId val="151994368"/>
        <c:axId val="151995904"/>
      </c:barChart>
      <c:catAx>
        <c:axId val="151994368"/>
        <c:scaling>
          <c:orientation val="minMax"/>
        </c:scaling>
        <c:delete val="0"/>
        <c:axPos val="b"/>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51995904"/>
        <c:crosses val="autoZero"/>
        <c:auto val="1"/>
        <c:lblAlgn val="ctr"/>
        <c:lblOffset val="100"/>
        <c:noMultiLvlLbl val="0"/>
      </c:catAx>
      <c:valAx>
        <c:axId val="151995904"/>
        <c:scaling>
          <c:orientation val="minMax"/>
          <c:max val="400"/>
          <c:min val="0"/>
        </c:scaling>
        <c:delete val="0"/>
        <c:axPos val="l"/>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51994368"/>
        <c:crosses val="autoZero"/>
        <c:crossBetween val="between"/>
        <c:majorUnit val="50"/>
        <c:minorUnit val="0.4"/>
      </c:valAx>
    </c:plotArea>
    <c:plotVisOnly val="1"/>
    <c:dispBlanksAs val="gap"/>
    <c:showDLblsOverMax val="0"/>
    <c:extLst>
      <c:ext uri="{0b15fc19-7d7d-44ad-8c2d-2c3a37ce22c3}">
        <chartProps xmlns="https://web.wps.cn/et/2018/main" chartId="{a7901da9-dd39-42d4-bdba-ad70cbddd69b}"/>
      </c:ext>
    </c:extLst>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sz="1000" b="0">
                <a:latin typeface="宋体" panose="02010600030101010101" charset="-122"/>
                <a:ea typeface="宋体" panose="02010600030101010101" charset="-122"/>
              </a:rPr>
              <a:t>单位：万元</a:t>
            </a:r>
            <a:endParaRPr lang="zh-CN" altLang="en-US" sz="1000" b="0">
              <a:latin typeface="宋体" panose="02010600030101010101" charset="-122"/>
              <a:ea typeface="宋体" panose="02010600030101010101" charset="-122"/>
            </a:endParaRPr>
          </a:p>
        </c:rich>
      </c:tx>
      <c:layout>
        <c:manualLayout>
          <c:xMode val="edge"/>
          <c:yMode val="edge"/>
          <c:x val="0.785786802030457"/>
          <c:y val="0.0186939182452642"/>
        </c:manualLayout>
      </c:layout>
      <c:overlay val="0"/>
    </c:title>
    <c:autoTitleDeleted val="0"/>
    <c:view3D>
      <c:rotX val="30"/>
      <c:rotY val="0"/>
      <c:depthPercent val="100"/>
      <c:rAngAx val="0"/>
      <c:perspective val="30"/>
    </c:view3D>
    <c:floor>
      <c:thickness val="0"/>
    </c:floor>
    <c:sideWall>
      <c:thickness val="0"/>
    </c:sideWall>
    <c:backWall>
      <c:thickness val="0"/>
    </c:backWall>
    <c:plotArea>
      <c:layout/>
      <c:pie3DChart>
        <c:varyColors val="1"/>
        <c:ser>
          <c:idx val="0"/>
          <c:order val="0"/>
          <c:explosion val="0"/>
          <c:dPt>
            <c:idx val="0"/>
            <c:bubble3D val="0"/>
          </c:dPt>
          <c:dPt>
            <c:idx val="1"/>
            <c:bubble3D val="0"/>
          </c:dPt>
          <c:dPt>
            <c:idx val="2"/>
            <c:bubble3D val="0"/>
          </c:dPt>
          <c:dLbls>
            <c:dLbl>
              <c:idx val="1"/>
              <c:layout>
                <c:manualLayout>
                  <c:x val="0.0374064629614986"/>
                  <c:y val="0.0399761675443141"/>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dLbl>
              <c:idx val="2"/>
              <c:layout>
                <c:manualLayout>
                  <c:x val="0.0930054067094267"/>
                  <c:y val="0.0840145971955012"/>
                </c:manualLayout>
              </c:layout>
              <c:dLblPos val="bestFit"/>
              <c:showLegendKey val="0"/>
              <c:showVal val="1"/>
              <c:showCatName val="0"/>
              <c:showSerName val="0"/>
              <c:showPercent val="1"/>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inEnd"/>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[图表制作.xlsx]Sheet1!$A$78:$A$80</c:f>
              <c:strCache>
                <c:ptCount val="3"/>
                <c:pt idx="0">
                  <c:v>社会保障和就业支出</c:v>
                </c:pt>
                <c:pt idx="1">
                  <c:v>住房保障支出</c:v>
                </c:pt>
                <c:pt idx="2">
                  <c:v>卫生健康支出</c:v>
                </c:pt>
              </c:strCache>
            </c:strRef>
          </c:cat>
          <c:val>
            <c:numRef>
              <c:f>[图表制作.xlsx]Sheet1!$B$78:$B$80</c:f>
              <c:numCache>
                <c:formatCode>General</c:formatCode>
                <c:ptCount val="3"/>
                <c:pt idx="0">
                  <c:v>340.29</c:v>
                </c:pt>
                <c:pt idx="1">
                  <c:v>17.32</c:v>
                </c:pt>
                <c:pt idx="2">
                  <c:v>13.95</c:v>
                </c:pt>
              </c:numCache>
            </c:numRef>
          </c:val>
        </c:ser>
        <c:ser>
          <c:idx val="1"/>
          <c:order val="1"/>
          <c:tx>
            <c:strRef>
              <c:f>[图表制作.xlsx]Sheet1!$B$78:$B$80</c:f>
              <c:strCache>
                <c:ptCount val="1"/>
                <c:pt idx="0">
                  <c:v>340.29 17.32 13.95</c:v>
                </c:pt>
              </c:strCache>
            </c:strRef>
          </c:tx>
          <c:explosion val="0"/>
          <c:dPt>
            <c:idx val="0"/>
            <c:bubble3D val="0"/>
          </c:dPt>
          <c:dLbls>
            <c:numFmt formatCode="General" sourceLinked="1"/>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[图表制作.xlsx]Sheet1!$A$78:$A$80</c:f>
              <c:strCache>
                <c:ptCount val="3"/>
                <c:pt idx="0">
                  <c:v>社会保障和就业支出</c:v>
                </c:pt>
                <c:pt idx="1">
                  <c:v>住房保障支出</c:v>
                </c:pt>
                <c:pt idx="2">
                  <c:v>卫生健康支出</c:v>
                </c:pt>
              </c:strCache>
            </c:strRef>
          </c:cat>
          <c:val>
            <c:numRef>
              <c:f>{1}</c:f>
              <c:numCache>
                <c:formatCode>General</c:formatCode>
                <c:ptCount val="1"/>
                <c:pt idx="0">
                  <c:v>1</c:v>
                </c:pt>
              </c:numCache>
            </c:numRef>
          </c:val>
        </c:ser>
        <c:dLbls>
          <c:showLegendKey val="0"/>
          <c:showVal val="1"/>
          <c:showCatName val="0"/>
          <c:showSerName val="0"/>
          <c:showPercent val="0"/>
          <c:showBubbleSize val="0"/>
        </c:dLbls>
      </c:pie3DChart>
    </c:plotArea>
    <c:legend>
      <c:legendPos val="r"/>
      <c:layout>
        <c:manualLayout>
          <c:xMode val="edge"/>
          <c:yMode val="edge"/>
          <c:x val="0.653468697123519"/>
          <c:y val="0.386714855433699"/>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460001be-a9a1-4973-859f-2a9121f29ece}"/>
      </c:ext>
    </c:extLst>
  </c:chart>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200" b="1" i="0" u="none" strike="noStrike" kern="1200" baseline="0">
                <a:solidFill>
                  <a:schemeClr val="tx1"/>
                </a:solidFill>
                <a:latin typeface="+mn-lt"/>
                <a:ea typeface="+mn-ea"/>
                <a:cs typeface="+mn-cs"/>
              </a:defRPr>
            </a:pPr>
            <a:r>
              <a:rPr lang="zh-CN" altLang="en-US" sz="1000" b="0">
                <a:latin typeface="宋体" panose="02010600030101010101" charset="-122"/>
                <a:ea typeface="宋体" panose="02010600030101010101" charset="-122"/>
              </a:rPr>
              <a:t>单位：万元</a:t>
            </a:r>
            <a:endParaRPr lang="zh-CN" altLang="en-US" sz="1000" b="0">
              <a:latin typeface="宋体" panose="02010600030101010101" charset="-122"/>
              <a:ea typeface="宋体" panose="02010600030101010101" charset="-122"/>
            </a:endParaRPr>
          </a:p>
        </c:rich>
      </c:tx>
      <c:layout>
        <c:manualLayout>
          <c:xMode val="edge"/>
          <c:yMode val="edge"/>
          <c:x val="0.78409475465313"/>
          <c:y val="0.0224327018943171"/>
        </c:manualLayout>
      </c:layout>
      <c:overlay val="0"/>
    </c:title>
    <c:autoTitleDeleted val="0"/>
    <c:view3D>
      <c:rotX val="30"/>
      <c:rotY val="0"/>
      <c:depthPercent val="100"/>
      <c:rAngAx val="0"/>
      <c:perspective val="30"/>
    </c:view3D>
    <c:floor>
      <c:thickness val="0"/>
    </c:floor>
    <c:sideWall>
      <c:thickness val="0"/>
    </c:sideWall>
    <c:backWall>
      <c:thickness val="0"/>
    </c:backWall>
    <c:plotArea>
      <c:layout>
        <c:manualLayout>
          <c:layoutTarget val="inner"/>
          <c:xMode val="edge"/>
          <c:yMode val="edge"/>
          <c:x val="0.0729813874788494"/>
          <c:y val="0.197796610169492"/>
          <c:w val="0.598876480541455"/>
          <c:h val="0.685663010967099"/>
        </c:manualLayout>
      </c:layout>
      <c:pie3DChart>
        <c:varyColors val="1"/>
        <c:ser>
          <c:idx val="0"/>
          <c:order val="0"/>
          <c:explosion val="0"/>
          <c:dPt>
            <c:idx val="0"/>
            <c:bubble3D val="0"/>
          </c:dPt>
          <c:dLbls>
            <c:dLbl>
              <c:idx val="0"/>
              <c:layout>
                <c:manualLayout>
                  <c:x val="-0.0972218447313375"/>
                  <c:y val="-0.257768046161249"/>
                </c:manualLayout>
              </c:layout>
              <c:dLblPos val="bestFit"/>
              <c:showLegendKey val="0"/>
              <c:showVal val="1"/>
              <c:showCatName val="1"/>
              <c:showSerName val="0"/>
              <c:showPercent val="1"/>
              <c:showBubbleSize val="0"/>
              <c:separator>
</c:separator>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1"/>
            <c:showSerName val="0"/>
            <c:showPercent val="1"/>
            <c:showBubbleSize val="0"/>
            <c:showLeaderLines val="0"/>
            <c:extLst>
              <c:ext xmlns:c15="http://schemas.microsoft.com/office/drawing/2012/chart" uri="{CE6537A1-D6FC-4f65-9D91-7224C49458BB}">
                <c15:layout/>
                <c15:showLeaderLines val="0"/>
                <c15:leaderLines/>
              </c:ext>
            </c:extLst>
          </c:dLbls>
          <c:cat>
            <c:strRef>
              <c:f>[图表制作.xlsx]Sheet1!$A$101</c:f>
              <c:strCache>
                <c:ptCount val="1"/>
                <c:pt idx="0">
                  <c:v>公务接待费</c:v>
                </c:pt>
              </c:strCache>
            </c:strRef>
          </c:cat>
          <c:val>
            <c:numRef>
              <c:f>[图表制作.xlsx]Sheet1!$B$101</c:f>
              <c:numCache>
                <c:formatCode>General</c:formatCode>
                <c:ptCount val="1"/>
                <c:pt idx="0">
                  <c:v>0.29</c:v>
                </c:pt>
              </c:numCache>
            </c:numRef>
          </c:val>
        </c:ser>
        <c:dLbls>
          <c:showLegendKey val="0"/>
          <c:showVal val="0"/>
          <c:showCatName val="0"/>
          <c:showSerName val="0"/>
          <c:showPercent val="1"/>
          <c:showBubbleSize val="0"/>
        </c:dLbls>
      </c:pie3D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2444ab80-4ab2-4ac5-b9f5-92040399e4d9}"/>
      </c:ext>
    </c:extLst>
  </c:chart>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acrossLinear" id="2">
  <a:schemeClr val="accent1"/>
  <a:schemeClr val="accent2"/>
  <a:schemeClr val="accent3"/>
  <a:schemeClr val="accent4"/>
  <a:schemeClr val="accent5"/>
  <a:schemeClr val="accent6"/>
</cs:colorStyle>
</file>

<file path=word/charts/style1.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0.738083121289228</cdr:x>
      <cdr:y>0.00708048147274015</cdr:y>
    </cdr:from>
    <cdr:to>
      <cdr:x>0.989821882951654</cdr:x>
      <cdr:y>0.0920462591456219</cdr:y>
    </cdr:to>
    <cdr:sp>
      <cdr:nvSpPr>
        <cdr:cNvPr id="2" name="矩形 1"/>
        <cdr:cNvSpPr/>
      </cdr:nvSpPr>
      <cdr:spPr xmlns:a="http://schemas.openxmlformats.org/drawingml/2006/main">
        <a:xfrm xmlns:a="http://schemas.openxmlformats.org/drawingml/2006/main">
          <a:off x="2762885" y="19050"/>
          <a:ext cx="942340" cy="228600"/>
        </a:xfrm>
        <a:prstGeom xmlns:a="http://schemas.openxmlformats.org/drawingml/2006/main" prst="rect">
          <a:avLst/>
        </a:prstGeom>
      </cdr:spPr>
      <cdr:txBody xmlns:a="http://schemas.openxmlformats.org/drawingml/2006/main">
        <a:bodyPr vertOverflow="clip" horzOverflow="clip" vert="horz" wrap="square" lIns="45720" tIns="45720" rIns="45720" bIns="45720" rtlCol="0" anchor="t" anchorCtr="0">
          <a:normAutofit/>
        </a:bodyPr>
        <a:p>
          <a:r>
            <a:rPr lang="zh-CN" altLang="en-US" sz="1000"/>
            <a:t>单位：万元</a:t>
          </a:r>
          <a:endParaRPr lang="zh-CN" altLang="en-US" sz="1000"/>
        </a:p>
      </cdr:txBody>
    </cdr:sp>
  </cdr:relSizeAnchor>
</c:userShapes>
</file>

<file path=word/drawings/drawing2.xml><?xml version="1.0" encoding="utf-8"?>
<c:userShapes xmlns:c="http://schemas.openxmlformats.org/drawingml/2006/chart">
  <cdr:relSizeAnchor xmlns:cdr="http://schemas.openxmlformats.org/drawingml/2006/chartDrawing">
    <cdr:from>
      <cdr:x>0.714285714285714</cdr:x>
      <cdr:y>0.063739837398374</cdr:y>
    </cdr:from>
    <cdr:to>
      <cdr:x>1</cdr:x>
      <cdr:y>0.204878048780488</cdr:y>
    </cdr:to>
    <cdr:sp>
      <cdr:nvSpPr>
        <cdr:cNvPr id="2" name="矩形 1"/>
        <cdr:cNvSpPr/>
      </cdr:nvSpPr>
      <cdr:spPr xmlns:a="http://schemas.openxmlformats.org/drawingml/2006/main">
        <a:xfrm xmlns:a="http://schemas.openxmlformats.org/drawingml/2006/main">
          <a:off x="2143125" y="124460"/>
          <a:ext cx="857250" cy="275590"/>
        </a:xfrm>
        <a:prstGeom xmlns:a="http://schemas.openxmlformats.org/drawingml/2006/main" prst="rect">
          <a:avLst/>
        </a:prstGeom>
      </cdr:spPr>
      <cdr:txBody xmlns:a="http://schemas.openxmlformats.org/drawingml/2006/main">
        <a:bodyPr vertOverflow="clip" horzOverflow="clip" vert="horz" wrap="square" lIns="45720" tIns="45720" rIns="45720" bIns="45720" rtlCol="0" anchor="t" anchorCtr="0">
          <a:normAutofit/>
        </a:bodyPr>
        <a:p>
          <a:r>
            <a:rPr lang="zh-CN" altLang="en-US" sz="1000"/>
            <a:t>单位：万元</a:t>
          </a:r>
          <a:endParaRPr lang="zh-CN" altLang="en-US" sz="1000"/>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17</Pages>
  <Words>4384</Words>
  <Characters>4786</Characters>
  <Lines>61</Lines>
  <Paragraphs>17</Paragraphs>
  <TotalTime>29</TotalTime>
  <ScaleCrop>false</ScaleCrop>
  <LinksUpToDate>false</LinksUpToDate>
  <CharactersWithSpaces>4890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2020-08-09T09:49:00Z</dcterms:created>
  <dc:creator>曹颖</dc:creator>
  <cp:lastModifiedBy>Administrator</cp:lastModifiedBy>
  <cp:lastPrinted>2025-09-04T07:45:00Z</cp:lastPrinted>
  <dcterms:modified xsi:type="dcterms:W3CDTF">2025-09-12T08:19:01Z</dcterms:modified>
  <dc:title>四川省***</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04787F2533EB45DC91BCDE4AB213247F</vt:lpwstr>
  </property>
  <property fmtid="{D5CDD505-2E9C-101B-9397-08002B2CF9AE}" pid="4" name="KSOTemplateDocerSaveRecord">
    <vt:lpwstr>eyJoZGlkIjoiMTMwNjJhM2I2YjU2OTBkZDFjZTBiZWYyNTg0MjY4N2QifQ==</vt:lpwstr>
  </property>
</Properties>
</file>